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center"/>
        <w:rPr>
          <w:rFonts w:hAnsi="宋体"/>
          <w:bCs/>
          <w:color w:val="000000" w:themeColor="text1"/>
          <w:sz w:val="32"/>
        </w:rPr>
      </w:pPr>
      <w:bookmarkStart w:id="0" w:name="_Toc491658631"/>
    </w:p>
    <w:p>
      <w:pPr>
        <w:pStyle w:val="26"/>
        <w:widowControl/>
        <w:adjustRightInd w:val="0"/>
        <w:snapToGrid w:val="0"/>
        <w:spacing w:line="360" w:lineRule="auto"/>
        <w:jc w:val="center"/>
        <w:rPr>
          <w:rFonts w:hint="eastAsia" w:ascii="黑体" w:eastAsia="黑体"/>
          <w:bCs/>
          <w:color w:val="000000"/>
          <w:sz w:val="72"/>
          <w:lang w:eastAsia="zh-CN"/>
        </w:rPr>
      </w:pPr>
      <w:r>
        <w:rPr>
          <w:rFonts w:hint="eastAsia" w:hAnsi="宋体" w:eastAsia="黑体" w:cs="宋体"/>
          <w:b/>
          <w:bCs/>
          <w:sz w:val="44"/>
          <w:szCs w:val="44"/>
          <w:lang w:eastAsia="zh-CN"/>
        </w:rPr>
        <w:t>阳江市妇幼保健院一期特殊科室（手术室、NICU、产房、检验科PCR实验室、妇科门诊手术室）洁净区域维保服务采购项目</w:t>
      </w:r>
    </w:p>
    <w:p>
      <w:pPr>
        <w:pStyle w:val="26"/>
        <w:widowControl/>
        <w:adjustRightInd w:val="0"/>
        <w:snapToGrid w:val="0"/>
        <w:spacing w:line="360" w:lineRule="auto"/>
        <w:jc w:val="center"/>
        <w:rPr>
          <w:rFonts w:ascii="黑体" w:eastAsia="黑体"/>
          <w:bCs/>
          <w:color w:val="000000"/>
          <w:sz w:val="72"/>
        </w:rPr>
      </w:pPr>
      <w:r>
        <w:rPr>
          <w:rFonts w:hint="eastAsia" w:ascii="黑体" w:eastAsia="黑体"/>
          <w:bCs/>
          <w:color w:val="000000"/>
          <w:sz w:val="72"/>
        </w:rPr>
        <w:t>招  标  文  件</w:t>
      </w:r>
    </w:p>
    <w:p>
      <w:pPr>
        <w:pStyle w:val="26"/>
        <w:widowControl/>
        <w:adjustRightInd w:val="0"/>
        <w:snapToGrid w:val="0"/>
        <w:spacing w:line="360" w:lineRule="auto"/>
        <w:jc w:val="center"/>
        <w:rPr>
          <w:rFonts w:ascii="黑体" w:hAnsi="黑体" w:eastAsia="黑体"/>
          <w:bCs/>
          <w:color w:val="000000"/>
          <w:sz w:val="48"/>
          <w:szCs w:val="48"/>
        </w:rPr>
      </w:pPr>
    </w:p>
    <w:p>
      <w:pPr>
        <w:pStyle w:val="26"/>
        <w:widowControl/>
        <w:adjustRightInd w:val="0"/>
        <w:snapToGrid w:val="0"/>
        <w:spacing w:line="360" w:lineRule="auto"/>
        <w:jc w:val="center"/>
        <w:rPr>
          <w:rFonts w:ascii="黑体" w:hAnsi="黑体" w:eastAsia="黑体"/>
          <w:bCs/>
          <w:color w:val="000000"/>
          <w:sz w:val="48"/>
          <w:szCs w:val="48"/>
        </w:rPr>
      </w:pPr>
    </w:p>
    <w:p>
      <w:pPr>
        <w:pStyle w:val="26"/>
        <w:widowControl/>
        <w:adjustRightInd w:val="0"/>
        <w:snapToGrid w:val="0"/>
        <w:spacing w:line="360" w:lineRule="auto"/>
        <w:jc w:val="center"/>
        <w:rPr>
          <w:rFonts w:hAnsi="宋体"/>
          <w:bCs/>
          <w:color w:val="000000" w:themeColor="text1"/>
          <w:sz w:val="52"/>
          <w:szCs w:val="52"/>
        </w:rPr>
      </w:pPr>
    </w:p>
    <w:p>
      <w:pPr>
        <w:pStyle w:val="26"/>
        <w:widowControl/>
        <w:adjustRightInd w:val="0"/>
        <w:snapToGrid w:val="0"/>
        <w:spacing w:line="360" w:lineRule="auto"/>
        <w:jc w:val="center"/>
        <w:rPr>
          <w:rFonts w:hAnsi="宋体"/>
          <w:bCs/>
          <w:color w:val="000000" w:themeColor="text1"/>
          <w:sz w:val="52"/>
          <w:szCs w:val="52"/>
        </w:rPr>
      </w:pPr>
    </w:p>
    <w:p>
      <w:pPr>
        <w:pStyle w:val="26"/>
        <w:widowControl/>
        <w:adjustRightInd w:val="0"/>
        <w:snapToGrid w:val="0"/>
        <w:spacing w:line="360" w:lineRule="auto"/>
        <w:rPr>
          <w:rFonts w:hAnsi="宋体"/>
          <w:bCs/>
          <w:color w:val="000000" w:themeColor="text1"/>
          <w:sz w:val="52"/>
          <w:szCs w:val="52"/>
        </w:rPr>
      </w:pPr>
    </w:p>
    <w:p>
      <w:pPr>
        <w:pStyle w:val="26"/>
        <w:widowControl/>
        <w:adjustRightInd w:val="0"/>
        <w:snapToGrid w:val="0"/>
        <w:spacing w:line="360" w:lineRule="auto"/>
        <w:rPr>
          <w:rFonts w:ascii="黑体" w:eastAsia="黑体"/>
          <w:bCs/>
          <w:color w:val="000000"/>
          <w:sz w:val="30"/>
          <w:szCs w:val="30"/>
        </w:rPr>
      </w:pPr>
    </w:p>
    <w:p>
      <w:pPr>
        <w:pStyle w:val="26"/>
        <w:widowControl/>
        <w:adjustRightInd w:val="0"/>
        <w:snapToGrid w:val="0"/>
        <w:spacing w:line="360" w:lineRule="auto"/>
        <w:ind w:firstLine="1500" w:firstLineChars="500"/>
        <w:jc w:val="left"/>
        <w:rPr>
          <w:bCs/>
          <w:color w:val="000000"/>
          <w:sz w:val="28"/>
        </w:rPr>
      </w:pPr>
      <w:r>
        <w:rPr>
          <w:rFonts w:hint="eastAsia" w:ascii="黑体" w:eastAsia="黑体"/>
          <w:bCs/>
          <w:color w:val="000000"/>
          <w:sz w:val="30"/>
          <w:szCs w:val="30"/>
        </w:rPr>
        <w:t>项  目 编 号：</w:t>
      </w:r>
      <w:r>
        <w:rPr>
          <w:rFonts w:hint="eastAsia" w:ascii="黑体" w:eastAsia="黑体"/>
          <w:bCs/>
          <w:color w:val="000000"/>
          <w:sz w:val="30"/>
          <w:szCs w:val="30"/>
          <w:lang w:eastAsia="zh-CN"/>
        </w:rPr>
        <w:t>YJFY20250717</w:t>
      </w:r>
      <w:r>
        <w:rPr>
          <w:rFonts w:hint="eastAsia"/>
          <w:bCs/>
          <w:color w:val="000000"/>
          <w:sz w:val="28"/>
        </w:rPr>
        <w:t xml:space="preserve">      </w:t>
      </w:r>
    </w:p>
    <w:p>
      <w:pPr>
        <w:pStyle w:val="26"/>
        <w:widowControl/>
        <w:adjustRightInd w:val="0"/>
        <w:snapToGrid w:val="0"/>
        <w:spacing w:line="360" w:lineRule="auto"/>
        <w:ind w:firstLine="1500" w:firstLineChars="500"/>
        <w:jc w:val="left"/>
        <w:rPr>
          <w:rFonts w:hint="eastAsia" w:ascii="黑体" w:eastAsia="黑体"/>
          <w:bCs/>
          <w:color w:val="000000"/>
          <w:sz w:val="30"/>
          <w:szCs w:val="30"/>
          <w:lang w:eastAsia="zh-CN"/>
        </w:rPr>
      </w:pPr>
      <w:r>
        <w:rPr>
          <w:rFonts w:hint="eastAsia" w:ascii="黑体" w:eastAsia="黑体"/>
          <w:bCs/>
          <w:color w:val="000000"/>
          <w:sz w:val="30"/>
          <w:szCs w:val="30"/>
        </w:rPr>
        <w:t xml:space="preserve">采 </w:t>
      </w:r>
      <w:r>
        <w:rPr>
          <w:rFonts w:ascii="黑体" w:eastAsia="黑体"/>
          <w:bCs/>
          <w:color w:val="000000"/>
          <w:sz w:val="30"/>
          <w:szCs w:val="30"/>
        </w:rPr>
        <w:t xml:space="preserve"> </w:t>
      </w:r>
      <w:r>
        <w:rPr>
          <w:rFonts w:hint="eastAsia" w:ascii="黑体" w:eastAsia="黑体"/>
          <w:bCs/>
          <w:color w:val="000000"/>
          <w:sz w:val="30"/>
          <w:szCs w:val="30"/>
        </w:rPr>
        <w:t xml:space="preserve"> 购 </w:t>
      </w:r>
      <w:r>
        <w:rPr>
          <w:rFonts w:ascii="黑体" w:eastAsia="黑体"/>
          <w:bCs/>
          <w:color w:val="000000"/>
          <w:sz w:val="30"/>
          <w:szCs w:val="30"/>
        </w:rPr>
        <w:t xml:space="preserve"> </w:t>
      </w:r>
      <w:r>
        <w:rPr>
          <w:rFonts w:hint="eastAsia" w:ascii="黑体" w:eastAsia="黑体"/>
          <w:bCs/>
          <w:color w:val="000000"/>
          <w:sz w:val="30"/>
          <w:szCs w:val="30"/>
        </w:rPr>
        <w:t xml:space="preserve"> 人：</w:t>
      </w:r>
      <w:r>
        <w:rPr>
          <w:rFonts w:hint="eastAsia" w:ascii="黑体" w:eastAsia="黑体"/>
          <w:bCs/>
          <w:color w:val="000000"/>
          <w:sz w:val="30"/>
          <w:szCs w:val="30"/>
          <w:lang w:eastAsia="zh-CN"/>
        </w:rPr>
        <w:t>阳江市妇幼保健院</w:t>
      </w:r>
    </w:p>
    <w:p>
      <w:pPr>
        <w:pStyle w:val="26"/>
        <w:widowControl/>
        <w:adjustRightInd w:val="0"/>
        <w:snapToGrid w:val="0"/>
        <w:spacing w:line="360" w:lineRule="auto"/>
        <w:ind w:firstLine="1500" w:firstLineChars="500"/>
        <w:rPr>
          <w:rFonts w:ascii="黑体" w:eastAsia="黑体"/>
          <w:bCs/>
          <w:color w:val="000000"/>
          <w:sz w:val="44"/>
        </w:rPr>
      </w:pPr>
      <w:r>
        <w:rPr>
          <w:rFonts w:hint="eastAsia" w:ascii="黑体" w:eastAsia="黑体"/>
          <w:bCs/>
          <w:color w:val="000000"/>
          <w:sz w:val="30"/>
          <w:szCs w:val="30"/>
        </w:rPr>
        <w:t>集中采购机构：阳江市投源招标采购有限公司</w:t>
      </w:r>
    </w:p>
    <w:p>
      <w:pPr>
        <w:pStyle w:val="26"/>
        <w:widowControl/>
        <w:adjustRightInd w:val="0"/>
        <w:snapToGrid w:val="0"/>
        <w:spacing w:line="360" w:lineRule="auto"/>
        <w:ind w:firstLine="1500" w:firstLineChars="500"/>
        <w:rPr>
          <w:rFonts w:ascii="黑体" w:eastAsia="黑体"/>
          <w:bCs/>
          <w:color w:val="000000"/>
          <w:sz w:val="30"/>
          <w:szCs w:val="30"/>
        </w:rPr>
      </w:pPr>
      <w:r>
        <w:rPr>
          <w:rFonts w:hint="eastAsia" w:ascii="黑体" w:eastAsia="黑体"/>
          <w:bCs/>
          <w:color w:val="000000"/>
          <w:sz w:val="30"/>
          <w:szCs w:val="30"/>
        </w:rPr>
        <w:t>编</w:t>
      </w:r>
      <w:r>
        <w:rPr>
          <w:rFonts w:ascii="黑体" w:eastAsia="黑体"/>
          <w:bCs/>
          <w:color w:val="000000"/>
          <w:sz w:val="30"/>
          <w:szCs w:val="30"/>
        </w:rPr>
        <w:t xml:space="preserve">  </w:t>
      </w:r>
      <w:r>
        <w:rPr>
          <w:rFonts w:hint="eastAsia" w:ascii="黑体" w:eastAsia="黑体"/>
          <w:bCs/>
          <w:color w:val="000000"/>
          <w:sz w:val="30"/>
          <w:szCs w:val="30"/>
        </w:rPr>
        <w:t>制 时 间：二○二</w:t>
      </w:r>
      <w:r>
        <w:rPr>
          <w:rFonts w:hint="eastAsia" w:ascii="黑体" w:eastAsia="黑体"/>
          <w:bCs/>
          <w:color w:val="000000"/>
          <w:sz w:val="30"/>
          <w:szCs w:val="30"/>
          <w:lang w:val="en-US" w:eastAsia="zh-CN"/>
        </w:rPr>
        <w:t>五</w:t>
      </w:r>
      <w:r>
        <w:rPr>
          <w:rFonts w:hint="eastAsia" w:ascii="黑体" w:eastAsia="黑体"/>
          <w:bCs/>
          <w:color w:val="000000"/>
          <w:sz w:val="30"/>
          <w:szCs w:val="30"/>
        </w:rPr>
        <w:t>年</w:t>
      </w:r>
      <w:r>
        <w:rPr>
          <w:rFonts w:hint="eastAsia" w:ascii="黑体" w:eastAsia="黑体"/>
          <w:bCs/>
          <w:color w:val="000000"/>
          <w:sz w:val="30"/>
          <w:szCs w:val="30"/>
          <w:lang w:val="en-US" w:eastAsia="zh-CN"/>
        </w:rPr>
        <w:t>八</w:t>
      </w:r>
      <w:r>
        <w:rPr>
          <w:rFonts w:hint="eastAsia" w:ascii="黑体" w:eastAsia="黑体"/>
          <w:bCs/>
          <w:color w:val="000000"/>
          <w:sz w:val="30"/>
          <w:szCs w:val="30"/>
        </w:rPr>
        <w:t>月</w:t>
      </w:r>
    </w:p>
    <w:p>
      <w:pPr>
        <w:pStyle w:val="61"/>
        <w:ind w:firstLine="0" w:firstLineChars="0"/>
        <w:rPr>
          <w:rFonts w:ascii="宋体" w:hAnsi="宋体"/>
          <w:b/>
          <w:color w:val="000000" w:themeColor="text1"/>
          <w:sz w:val="36"/>
        </w:rPr>
      </w:pPr>
    </w:p>
    <w:p>
      <w:pPr>
        <w:spacing w:beforeLines="50" w:afterLines="50" w:line="360" w:lineRule="atLeast"/>
        <w:jc w:val="center"/>
        <w:rPr>
          <w:rFonts w:ascii="宋体" w:hAnsi="宋体"/>
          <w:b/>
          <w:color w:val="000000"/>
          <w:sz w:val="36"/>
          <w:szCs w:val="36"/>
        </w:rPr>
      </w:pPr>
      <w:r>
        <w:rPr>
          <w:rFonts w:hint="eastAsia" w:ascii="宋体" w:hAnsi="宋体"/>
          <w:b/>
          <w:color w:val="000000"/>
          <w:sz w:val="36"/>
          <w:szCs w:val="36"/>
        </w:rPr>
        <w:t>温馨提示：特别注意事项</w:t>
      </w:r>
    </w:p>
    <w:p>
      <w:pPr>
        <w:numPr>
          <w:ilvl w:val="0"/>
          <w:numId w:val="21"/>
        </w:numPr>
        <w:spacing w:line="440" w:lineRule="exact"/>
        <w:ind w:left="454" w:hanging="454"/>
        <w:rPr>
          <w:rFonts w:ascii="宋体" w:hAnsi="宋体"/>
          <w:color w:val="000000"/>
          <w:szCs w:val="21"/>
        </w:rPr>
      </w:pPr>
      <w:r>
        <w:rPr>
          <w:rFonts w:hint="eastAsia" w:ascii="宋体" w:hAnsi="宋体"/>
          <w:color w:val="000000"/>
        </w:rPr>
        <w:t>请供应商特别留意招标文件上注明的投标截止和开标时间，逾期送达或邮寄送达的投标文件，招标采购单位恕不接收。因此，请供应商适当提前到达开标会议室。</w:t>
      </w:r>
    </w:p>
    <w:p>
      <w:pPr>
        <w:numPr>
          <w:ilvl w:val="0"/>
          <w:numId w:val="21"/>
        </w:numPr>
        <w:spacing w:line="440" w:lineRule="exact"/>
        <w:ind w:left="454" w:hanging="454"/>
        <w:rPr>
          <w:rFonts w:ascii="宋体" w:hAnsi="宋体"/>
          <w:color w:val="000000"/>
        </w:rPr>
      </w:pPr>
      <w:r>
        <w:rPr>
          <w:rFonts w:hint="eastAsia" w:ascii="宋体" w:hAnsi="宋体"/>
          <w:b/>
          <w:color w:val="000000"/>
          <w:u w:val="single"/>
        </w:rPr>
        <w:t>招标文件中标有“★”的条款，供应商必须一一响应</w:t>
      </w:r>
      <w:r>
        <w:rPr>
          <w:rFonts w:hint="eastAsia" w:ascii="宋体" w:hAnsi="宋体"/>
          <w:color w:val="000000"/>
        </w:rPr>
        <w:t>。</w:t>
      </w:r>
      <w:r>
        <w:rPr>
          <w:rFonts w:hint="eastAsia" w:ascii="宋体" w:hAnsi="宋体"/>
          <w:b/>
          <w:color w:val="000000"/>
          <w:u w:val="single"/>
        </w:rPr>
        <w:t>若有一项带“★”的指标要求未响应或不满足，其投标将按无效投标处理。</w:t>
      </w:r>
    </w:p>
    <w:p>
      <w:pPr>
        <w:numPr>
          <w:ilvl w:val="0"/>
          <w:numId w:val="21"/>
        </w:numPr>
        <w:spacing w:line="440" w:lineRule="exact"/>
        <w:ind w:left="454" w:hanging="454"/>
        <w:rPr>
          <w:rFonts w:ascii="宋体" w:hAnsi="宋体"/>
          <w:color w:val="000000"/>
        </w:rPr>
      </w:pPr>
      <w:r>
        <w:rPr>
          <w:rFonts w:hint="eastAsia" w:ascii="宋体" w:hAnsi="宋体"/>
          <w:color w:val="000000"/>
        </w:rPr>
        <w:t>请正确填写《开标一览表》，如含有包组的投标项目建议分开报价，报价要求详见招标文件《开标一览表》。</w:t>
      </w:r>
    </w:p>
    <w:p>
      <w:pPr>
        <w:numPr>
          <w:ilvl w:val="0"/>
          <w:numId w:val="21"/>
        </w:numPr>
        <w:spacing w:line="440" w:lineRule="exact"/>
        <w:ind w:left="454" w:hanging="454"/>
        <w:rPr>
          <w:rFonts w:ascii="宋体" w:hAnsi="宋体"/>
          <w:color w:val="000000"/>
        </w:rPr>
      </w:pPr>
      <w:r>
        <w:rPr>
          <w:rFonts w:hint="eastAsia" w:ascii="宋体" w:hAnsi="宋体"/>
          <w:color w:val="000000"/>
        </w:rPr>
        <w:t>请仔细检查《投标函》、《开标一览表》、《法定代表人（负责人）证明书》、《法定代表人（负责人）授权书》等重要格式文件是否有按要求盖公章或签名</w:t>
      </w:r>
      <w:r>
        <w:rPr>
          <w:rFonts w:hint="eastAsia" w:ascii="宋体" w:hAnsi="宋体" w:cs="Tahoma"/>
          <w:b/>
          <w:bCs/>
          <w:color w:val="000000"/>
        </w:rPr>
        <w:t>。</w:t>
      </w:r>
    </w:p>
    <w:p>
      <w:pPr>
        <w:numPr>
          <w:ilvl w:val="0"/>
          <w:numId w:val="21"/>
        </w:numPr>
        <w:spacing w:line="440" w:lineRule="exact"/>
        <w:ind w:left="454" w:hanging="454"/>
        <w:rPr>
          <w:rFonts w:ascii="宋体" w:hAnsi="宋体"/>
          <w:color w:val="000000"/>
        </w:rPr>
      </w:pPr>
      <w:r>
        <w:rPr>
          <w:rFonts w:hint="eastAsia" w:ascii="宋体" w:hAnsi="宋体"/>
          <w:color w:val="000000"/>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rPr>
      </w:pPr>
      <w:r>
        <w:rPr>
          <w:rFonts w:hint="eastAsia" w:ascii="宋体" w:hAnsi="宋体"/>
          <w:color w:val="000000"/>
        </w:rPr>
        <w:t>建议将投标文件按目录格式顺序编制页码。</w:t>
      </w:r>
    </w:p>
    <w:p>
      <w:pPr>
        <w:numPr>
          <w:ilvl w:val="0"/>
          <w:numId w:val="21"/>
        </w:numPr>
        <w:spacing w:line="440" w:lineRule="exact"/>
        <w:ind w:left="454" w:hanging="454"/>
        <w:rPr>
          <w:rFonts w:ascii="宋体" w:hAnsi="宋体"/>
          <w:color w:val="000000"/>
        </w:rPr>
      </w:pPr>
      <w:r>
        <w:rPr>
          <w:rFonts w:hint="eastAsia" w:ascii="宋体" w:hAnsi="宋体"/>
          <w:color w:val="000000"/>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rPr>
      </w:pPr>
      <w:r>
        <w:rPr>
          <w:rFonts w:hint="eastAsia" w:ascii="宋体" w:hAnsi="宋体"/>
          <w:b/>
          <w:color w:val="000000"/>
        </w:rPr>
        <w:t>投标人请注意区分投标保证金及招标代理服务费收款账号的区别</w:t>
      </w:r>
      <w:r>
        <w:rPr>
          <w:rFonts w:hint="eastAsia" w:ascii="宋体" w:hAnsi="宋体"/>
          <w:color w:val="000000"/>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FangSong_GB2312"/>
          <w:b/>
          <w:bCs/>
          <w:color w:val="000000"/>
        </w:rPr>
      </w:pPr>
      <w:r>
        <w:rPr>
          <w:rFonts w:hint="eastAsia" w:ascii="宋体" w:hAnsi="宋体"/>
          <w:color w:val="000000"/>
        </w:rPr>
        <w:t>我司为采购代理机构，不对供应商购买招标文件时提交的相关资料的真伪做出判断，如供应商发现相关资料被盗用或复制，建议遵循法律途径解决，追究侵权者责任。对一家供应商递交两份不同投标方案的，评标委员会将对其投标按无效投标处理（如有特殊要求的除外）。</w:t>
      </w:r>
    </w:p>
    <w:p>
      <w:pPr>
        <w:pStyle w:val="26"/>
        <w:widowControl/>
        <w:adjustRightInd w:val="0"/>
        <w:snapToGrid w:val="0"/>
        <w:spacing w:line="440" w:lineRule="exact"/>
        <w:ind w:firstLine="413" w:firstLineChars="196"/>
        <w:rPr>
          <w:rFonts w:ascii="黑体" w:eastAsia="黑体"/>
          <w:bCs/>
          <w:color w:val="000000"/>
          <w:sz w:val="30"/>
          <w:szCs w:val="30"/>
        </w:rPr>
      </w:pPr>
      <w:r>
        <w:rPr>
          <w:rFonts w:hint="eastAsia" w:hAnsi="宋体" w:cs="FangSong_GB2312"/>
          <w:b/>
          <w:bCs/>
          <w:color w:val="000000"/>
        </w:rPr>
        <w:t>（本提示内容非招标文件的组成部分，仅为善意提醒。如有不一致，以招标文件为准）</w:t>
      </w:r>
    </w:p>
    <w:p>
      <w:pPr>
        <w:pStyle w:val="26"/>
        <w:widowControl/>
        <w:adjustRightInd w:val="0"/>
        <w:snapToGrid w:val="0"/>
        <w:spacing w:line="360" w:lineRule="auto"/>
        <w:jc w:val="center"/>
        <w:rPr>
          <w:rFonts w:hAnsi="宋体"/>
          <w:bCs/>
          <w:color w:val="000000" w:themeColor="text1"/>
          <w:sz w:val="30"/>
          <w:szCs w:val="30"/>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tabs>
          <w:tab w:val="left" w:pos="2400"/>
          <w:tab w:val="center" w:pos="4479"/>
        </w:tabs>
        <w:jc w:val="center"/>
        <w:rPr>
          <w:rFonts w:ascii="宋体" w:hAnsi="宋体"/>
          <w:b/>
          <w:bCs/>
          <w:color w:val="000000" w:themeColor="text1"/>
          <w:sz w:val="32"/>
          <w:szCs w:val="32"/>
        </w:rPr>
      </w:pPr>
    </w:p>
    <w:p>
      <w:pPr>
        <w:pStyle w:val="61"/>
        <w:ind w:firstLine="400"/>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34"/>
        <w:rPr>
          <w:rFonts w:asciiTheme="minorHAnsi" w:hAnsiTheme="minorHAnsi" w:eastAsiaTheme="minorEastAsia" w:cstheme="minorBidi"/>
          <w:b w:val="0"/>
          <w:bCs w:val="0"/>
          <w:caps w:val="0"/>
          <w:szCs w:val="22"/>
        </w:rPr>
      </w:pPr>
      <w:r>
        <w:rPr>
          <w:rFonts w:ascii="宋体" w:hAnsi="宋体"/>
          <w:b w:val="0"/>
          <w:bCs w:val="0"/>
          <w:caps w:val="0"/>
          <w:color w:val="000000" w:themeColor="text1"/>
        </w:rPr>
        <w:fldChar w:fldCharType="begin"/>
      </w:r>
      <w:r>
        <w:rPr>
          <w:rFonts w:ascii="宋体" w:hAnsi="宋体"/>
          <w:b w:val="0"/>
          <w:bCs w:val="0"/>
          <w:caps w:val="0"/>
          <w:color w:val="000000" w:themeColor="text1"/>
        </w:rPr>
        <w:instrText xml:space="preserve"> TOC \o "1-3" \h \z \u </w:instrText>
      </w:r>
      <w:r>
        <w:rPr>
          <w:rFonts w:ascii="宋体" w:hAnsi="宋体"/>
          <w:b w:val="0"/>
          <w:bCs w:val="0"/>
          <w:caps w:val="0"/>
          <w:color w:val="000000" w:themeColor="text1"/>
        </w:rPr>
        <w:fldChar w:fldCharType="separate"/>
      </w:r>
      <w:r>
        <w:fldChar w:fldCharType="begin"/>
      </w:r>
      <w:r>
        <w:instrText xml:space="preserve"> HYPERLINK \l "_Toc83905538" </w:instrText>
      </w:r>
      <w:r>
        <w:fldChar w:fldCharType="separate"/>
      </w:r>
      <w:r>
        <w:rPr>
          <w:rStyle w:val="59"/>
          <w:rFonts w:hint="eastAsia" w:ascii="宋体" w:hAnsi="宋体"/>
        </w:rPr>
        <w:t>第一部分</w:t>
      </w:r>
      <w:r>
        <w:rPr>
          <w:rStyle w:val="59"/>
          <w:rFonts w:ascii="宋体" w:hAnsi="宋体"/>
        </w:rPr>
        <w:t xml:space="preserve"> </w:t>
      </w:r>
      <w:r>
        <w:rPr>
          <w:rStyle w:val="59"/>
          <w:rFonts w:hint="eastAsia" w:ascii="宋体" w:hAnsi="宋体"/>
        </w:rPr>
        <w:t>投标邀请函</w:t>
      </w:r>
      <w:r>
        <w:tab/>
      </w:r>
      <w:r>
        <w:fldChar w:fldCharType="begin"/>
      </w:r>
      <w:r>
        <w:instrText xml:space="preserve"> PAGEREF _Toc83905538 \h </w:instrText>
      </w:r>
      <w:r>
        <w:fldChar w:fldCharType="separate"/>
      </w:r>
      <w:r>
        <w:t>5</w:t>
      </w:r>
      <w:r>
        <w:fldChar w:fldCharType="end"/>
      </w:r>
      <w:r>
        <w:fldChar w:fldCharType="end"/>
      </w:r>
    </w:p>
    <w:p>
      <w:pPr>
        <w:pStyle w:val="34"/>
        <w:rPr>
          <w:rFonts w:asciiTheme="minorHAnsi" w:hAnsiTheme="minorHAnsi" w:eastAsiaTheme="minorEastAsia" w:cstheme="minorBidi"/>
          <w:b w:val="0"/>
          <w:bCs w:val="0"/>
          <w:caps w:val="0"/>
          <w:szCs w:val="22"/>
        </w:rPr>
      </w:pPr>
      <w:r>
        <w:fldChar w:fldCharType="begin"/>
      </w:r>
      <w:r>
        <w:instrText xml:space="preserve"> HYPERLINK \l "_Toc83905539" </w:instrText>
      </w:r>
      <w:r>
        <w:fldChar w:fldCharType="separate"/>
      </w:r>
      <w:r>
        <w:rPr>
          <w:rStyle w:val="59"/>
          <w:rFonts w:hint="eastAsia" w:ascii="宋体" w:hAnsi="宋体"/>
        </w:rPr>
        <w:t>第二部分</w:t>
      </w:r>
      <w:r>
        <w:rPr>
          <w:rStyle w:val="59"/>
          <w:rFonts w:ascii="宋体" w:hAnsi="宋体"/>
        </w:rPr>
        <w:t xml:space="preserve"> </w:t>
      </w:r>
      <w:r>
        <w:rPr>
          <w:rStyle w:val="59"/>
          <w:rFonts w:hint="eastAsia" w:ascii="宋体" w:hAnsi="宋体"/>
        </w:rPr>
        <w:t>采购需求书</w:t>
      </w:r>
      <w:r>
        <w:tab/>
      </w:r>
      <w:r>
        <w:fldChar w:fldCharType="begin"/>
      </w:r>
      <w:r>
        <w:instrText xml:space="preserve"> PAGEREF _Toc83905539 \h </w:instrText>
      </w:r>
      <w:r>
        <w:fldChar w:fldCharType="separate"/>
      </w:r>
      <w:r>
        <w:t>8</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"_Toc83905540" </w:instrText>
      </w:r>
      <w:r>
        <w:fldChar w:fldCharType="separate"/>
      </w:r>
      <w:r>
        <w:rPr>
          <w:rStyle w:val="59"/>
          <w:kern w:val="0"/>
        </w:rPr>
        <w:t xml:space="preserve">A  </w:t>
      </w:r>
      <w:r>
        <w:rPr>
          <w:rStyle w:val="59"/>
          <w:rFonts w:hint="eastAsia"/>
          <w:kern w:val="0"/>
        </w:rPr>
        <w:t>商务要求</w:t>
      </w:r>
      <w:r>
        <w:tab/>
      </w:r>
      <w:r>
        <w:fldChar w:fldCharType="begin"/>
      </w:r>
      <w:r>
        <w:instrText xml:space="preserve"> PAGEREF _Toc83905540 \h </w:instrText>
      </w:r>
      <w:r>
        <w:fldChar w:fldCharType="separate"/>
      </w:r>
      <w:r>
        <w:t>8</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"_Toc83905541" </w:instrText>
      </w:r>
      <w:r>
        <w:fldChar w:fldCharType="separate"/>
      </w:r>
      <w:r>
        <w:rPr>
          <w:rStyle w:val="59"/>
          <w:kern w:val="0"/>
        </w:rPr>
        <w:t xml:space="preserve">B  </w:t>
      </w:r>
      <w:r>
        <w:rPr>
          <w:rStyle w:val="59"/>
          <w:rFonts w:hint="eastAsia"/>
          <w:kern w:val="0"/>
        </w:rPr>
        <w:t>技术要求</w:t>
      </w:r>
      <w:r>
        <w:tab/>
      </w:r>
      <w:r>
        <w:fldChar w:fldCharType="begin"/>
      </w:r>
      <w:r>
        <w:instrText xml:space="preserve"> PAGEREF _Toc83905541 \h </w:instrText>
      </w:r>
      <w:r>
        <w:fldChar w:fldCharType="separate"/>
      </w:r>
      <w:r>
        <w:t>11</w:t>
      </w:r>
      <w:r>
        <w:fldChar w:fldCharType="end"/>
      </w:r>
      <w:r>
        <w:fldChar w:fldCharType="end"/>
      </w:r>
    </w:p>
    <w:p>
      <w:pPr>
        <w:pStyle w:val="34"/>
        <w:rPr>
          <w:rFonts w:asciiTheme="minorHAnsi" w:hAnsiTheme="minorHAnsi" w:eastAsiaTheme="minorEastAsia" w:cstheme="minorBidi"/>
          <w:b w:val="0"/>
          <w:bCs w:val="0"/>
          <w:caps w:val="0"/>
          <w:szCs w:val="22"/>
        </w:rPr>
      </w:pPr>
      <w:r>
        <w:fldChar w:fldCharType="begin"/>
      </w:r>
      <w:r>
        <w:instrText xml:space="preserve"> HYPERLINK \l "_Toc83905542" </w:instrText>
      </w:r>
      <w:r>
        <w:fldChar w:fldCharType="separate"/>
      </w:r>
      <w:r>
        <w:rPr>
          <w:rStyle w:val="59"/>
          <w:rFonts w:hint="eastAsia" w:ascii="宋体" w:hAnsi="宋体"/>
        </w:rPr>
        <w:t>第三部分</w:t>
      </w:r>
      <w:r>
        <w:rPr>
          <w:rStyle w:val="59"/>
          <w:rFonts w:ascii="宋体" w:hAnsi="宋体"/>
        </w:rPr>
        <w:t xml:space="preserve"> </w:t>
      </w:r>
      <w:r>
        <w:rPr>
          <w:rStyle w:val="59"/>
          <w:rFonts w:hint="eastAsia" w:ascii="宋体" w:hAnsi="宋体"/>
        </w:rPr>
        <w:t>供应商须知</w:t>
      </w:r>
      <w:r>
        <w:tab/>
      </w:r>
      <w:r>
        <w:fldChar w:fldCharType="begin"/>
      </w:r>
      <w:r>
        <w:instrText xml:space="preserve"> PAGEREF _Toc83905542 \h </w:instrText>
      </w:r>
      <w:r>
        <w:fldChar w:fldCharType="separate"/>
      </w:r>
      <w:r>
        <w:t>17</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"_Toc83905543" </w:instrText>
      </w:r>
      <w:r>
        <w:fldChar w:fldCharType="separate"/>
      </w:r>
      <w:r>
        <w:rPr>
          <w:rStyle w:val="59"/>
          <w:rFonts w:hint="eastAsia"/>
        </w:rPr>
        <w:t>Ａ</w:t>
      </w:r>
      <w:r>
        <w:rPr>
          <w:rStyle w:val="59"/>
        </w:rPr>
        <w:t xml:space="preserve">  </w:t>
      </w:r>
      <w:r>
        <w:rPr>
          <w:rStyle w:val="59"/>
          <w:rFonts w:hint="eastAsia"/>
        </w:rPr>
        <w:t>说</w:t>
      </w:r>
      <w:r>
        <w:rPr>
          <w:rStyle w:val="59"/>
        </w:rPr>
        <w:t xml:space="preserve">  </w:t>
      </w:r>
      <w:r>
        <w:rPr>
          <w:rStyle w:val="59"/>
          <w:rFonts w:hint="eastAsia"/>
        </w:rPr>
        <w:t>明</w:t>
      </w:r>
      <w:r>
        <w:tab/>
      </w:r>
      <w:r>
        <w:fldChar w:fldCharType="begin"/>
      </w:r>
      <w:r>
        <w:instrText xml:space="preserve"> PAGEREF _Toc83905543 \h </w:instrText>
      </w:r>
      <w:r>
        <w:fldChar w:fldCharType="separate"/>
      </w:r>
      <w:r>
        <w:t>18</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"_Toc83905544" </w:instrText>
      </w:r>
      <w:r>
        <w:fldChar w:fldCharType="separate"/>
      </w:r>
      <w:r>
        <w:rPr>
          <w:rStyle w:val="59"/>
        </w:rPr>
        <w:t>1</w:t>
      </w:r>
      <w:r>
        <w:rPr>
          <w:rFonts w:asciiTheme="minorHAnsi" w:hAnsiTheme="minorHAnsi" w:eastAsiaTheme="minorEastAsia" w:cstheme="minorBidi"/>
          <w:szCs w:val="22"/>
        </w:rPr>
        <w:tab/>
      </w:r>
      <w:r>
        <w:rPr>
          <w:rStyle w:val="59"/>
          <w:rFonts w:hint="eastAsia"/>
        </w:rPr>
        <w:t>适用范围和资金来源</w:t>
      </w:r>
      <w:r>
        <w:tab/>
      </w:r>
      <w:r>
        <w:fldChar w:fldCharType="begin"/>
      </w:r>
      <w:r>
        <w:instrText xml:space="preserve"> PAGEREF _Toc83905544 \h </w:instrText>
      </w:r>
      <w:r>
        <w:fldChar w:fldCharType="separate"/>
      </w:r>
      <w:r>
        <w:t>18</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"_Toc83905545" </w:instrText>
      </w:r>
      <w:r>
        <w:fldChar w:fldCharType="separate"/>
      </w:r>
      <w:r>
        <w:rPr>
          <w:rStyle w:val="59"/>
        </w:rPr>
        <w:t>2</w:t>
      </w:r>
      <w:r>
        <w:rPr>
          <w:rFonts w:asciiTheme="minorHAnsi" w:hAnsiTheme="minorHAnsi" w:eastAsiaTheme="minorEastAsia" w:cstheme="minorBidi"/>
          <w:szCs w:val="22"/>
        </w:rPr>
        <w:tab/>
      </w:r>
      <w:r>
        <w:rPr>
          <w:rStyle w:val="59"/>
          <w:rFonts w:hint="eastAsia"/>
        </w:rPr>
        <w:t>定义</w:t>
      </w:r>
      <w:r>
        <w:tab/>
      </w:r>
      <w:r>
        <w:fldChar w:fldCharType="begin"/>
      </w:r>
      <w:r>
        <w:instrText xml:space="preserve"> PAGEREF _Toc83905545 \h </w:instrText>
      </w:r>
      <w:r>
        <w:fldChar w:fldCharType="separate"/>
      </w:r>
      <w:r>
        <w:t>18</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"_Toc83905546" </w:instrText>
      </w:r>
      <w:r>
        <w:fldChar w:fldCharType="separate"/>
      </w:r>
      <w:r>
        <w:rPr>
          <w:rStyle w:val="59"/>
        </w:rPr>
        <w:t>3</w:t>
      </w:r>
      <w:r>
        <w:rPr>
          <w:rFonts w:asciiTheme="minorHAnsi" w:hAnsiTheme="minorHAnsi" w:eastAsiaTheme="minorEastAsia" w:cstheme="minorBidi"/>
          <w:szCs w:val="22"/>
        </w:rPr>
        <w:tab/>
      </w:r>
      <w:r>
        <w:rPr>
          <w:rStyle w:val="59"/>
          <w:rFonts w:hint="eastAsia"/>
        </w:rPr>
        <w:t>合格的供应商</w:t>
      </w:r>
      <w:r>
        <w:tab/>
      </w:r>
      <w:r>
        <w:fldChar w:fldCharType="begin"/>
      </w:r>
      <w:r>
        <w:instrText xml:space="preserve"> PAGEREF _Toc83905546 \h </w:instrText>
      </w:r>
      <w:r>
        <w:fldChar w:fldCharType="separate"/>
      </w:r>
      <w:r>
        <w:t>18</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"_Toc83905547" </w:instrText>
      </w:r>
      <w:r>
        <w:fldChar w:fldCharType="separate"/>
      </w:r>
      <w:r>
        <w:rPr>
          <w:rStyle w:val="59"/>
        </w:rPr>
        <w:t>4</w:t>
      </w:r>
      <w:r>
        <w:rPr>
          <w:rFonts w:asciiTheme="minorHAnsi" w:hAnsiTheme="minorHAnsi" w:eastAsiaTheme="minorEastAsia" w:cstheme="minorBidi"/>
          <w:szCs w:val="22"/>
        </w:rPr>
        <w:tab/>
      </w:r>
      <w:r>
        <w:rPr>
          <w:rStyle w:val="59"/>
          <w:rFonts w:hint="eastAsia"/>
        </w:rPr>
        <w:t>投标费用</w:t>
      </w:r>
      <w:r>
        <w:tab/>
      </w:r>
      <w:r>
        <w:fldChar w:fldCharType="begin"/>
      </w:r>
      <w:r>
        <w:instrText xml:space="preserve"> PAGEREF _Toc83905547 \h </w:instrText>
      </w:r>
      <w:r>
        <w:fldChar w:fldCharType="separate"/>
      </w:r>
      <w:r>
        <w:t>18</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"_Toc83905548" </w:instrText>
      </w:r>
      <w:r>
        <w:fldChar w:fldCharType="separate"/>
      </w:r>
      <w:r>
        <w:rPr>
          <w:rStyle w:val="59"/>
          <w:rFonts w:hint="eastAsia"/>
        </w:rPr>
        <w:t>Ｂ</w:t>
      </w:r>
      <w:r>
        <w:rPr>
          <w:rStyle w:val="59"/>
        </w:rPr>
        <w:t xml:space="preserve">  </w:t>
      </w:r>
      <w:r>
        <w:rPr>
          <w:rStyle w:val="59"/>
          <w:rFonts w:hint="eastAsia"/>
        </w:rPr>
        <w:t>招标文件说明</w:t>
      </w:r>
      <w:r>
        <w:tab/>
      </w:r>
      <w:r>
        <w:fldChar w:fldCharType="begin"/>
      </w:r>
      <w:r>
        <w:instrText xml:space="preserve"> PAGEREF _Toc83905548 \h </w:instrText>
      </w:r>
      <w:r>
        <w:fldChar w:fldCharType="separate"/>
      </w:r>
      <w:r>
        <w:t>18</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"_Toc83905549" </w:instrText>
      </w:r>
      <w:r>
        <w:fldChar w:fldCharType="separate"/>
      </w:r>
      <w:r>
        <w:rPr>
          <w:rStyle w:val="59"/>
        </w:rPr>
        <w:t>5</w:t>
      </w:r>
      <w:r>
        <w:rPr>
          <w:rFonts w:asciiTheme="minorHAnsi" w:hAnsiTheme="minorHAnsi" w:eastAsiaTheme="minorEastAsia" w:cstheme="minorBidi"/>
          <w:szCs w:val="22"/>
        </w:rPr>
        <w:tab/>
      </w:r>
      <w:r>
        <w:rPr>
          <w:rStyle w:val="59"/>
          <w:rFonts w:hint="eastAsia"/>
        </w:rPr>
        <w:t>招标文件的构成</w:t>
      </w:r>
      <w:r>
        <w:tab/>
      </w:r>
      <w:r>
        <w:fldChar w:fldCharType="begin"/>
      </w:r>
      <w:r>
        <w:instrText xml:space="preserve"> PAGEREF _Toc83905549 \h </w:instrText>
      </w:r>
      <w:r>
        <w:fldChar w:fldCharType="separate"/>
      </w:r>
      <w:r>
        <w:t>18</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"_Toc83905550" </w:instrText>
      </w:r>
      <w:r>
        <w:fldChar w:fldCharType="separate"/>
      </w:r>
      <w:r>
        <w:rPr>
          <w:rStyle w:val="59"/>
        </w:rPr>
        <w:t>6</w:t>
      </w:r>
      <w:r>
        <w:rPr>
          <w:rFonts w:asciiTheme="minorHAnsi" w:hAnsiTheme="minorHAnsi" w:eastAsiaTheme="minorEastAsia" w:cstheme="minorBidi"/>
          <w:szCs w:val="22"/>
        </w:rPr>
        <w:tab/>
      </w:r>
      <w:r>
        <w:rPr>
          <w:rStyle w:val="59"/>
          <w:rFonts w:hint="eastAsia"/>
        </w:rPr>
        <w:t>招标文件的澄清、修改</w:t>
      </w:r>
      <w:r>
        <w:tab/>
      </w:r>
      <w:r>
        <w:fldChar w:fldCharType="begin"/>
      </w:r>
      <w:r>
        <w:instrText xml:space="preserve"> PAGEREF _Toc83905550 \h </w:instrText>
      </w:r>
      <w:r>
        <w:fldChar w:fldCharType="separate"/>
      </w:r>
      <w:r>
        <w:t>19</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"_Toc83905551" </w:instrText>
      </w:r>
      <w:r>
        <w:fldChar w:fldCharType="separate"/>
      </w:r>
      <w:r>
        <w:rPr>
          <w:rStyle w:val="59"/>
          <w:rFonts w:hint="eastAsia"/>
        </w:rPr>
        <w:t>Ｃ</w:t>
      </w:r>
      <w:r>
        <w:rPr>
          <w:rStyle w:val="59"/>
        </w:rPr>
        <w:t xml:space="preserve">  </w:t>
      </w:r>
      <w:r>
        <w:rPr>
          <w:rStyle w:val="59"/>
          <w:rFonts w:hint="eastAsia"/>
        </w:rPr>
        <w:t>投标文件的编制</w:t>
      </w:r>
      <w:r>
        <w:tab/>
      </w:r>
      <w:r>
        <w:fldChar w:fldCharType="begin"/>
      </w:r>
      <w:r>
        <w:instrText xml:space="preserve"> PAGEREF _Toc83905551 \h </w:instrText>
      </w:r>
      <w:r>
        <w:fldChar w:fldCharType="separate"/>
      </w:r>
      <w:r>
        <w:t>19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"_Toc83905552" </w:instrText>
      </w:r>
      <w:r>
        <w:fldChar w:fldCharType="separate"/>
      </w:r>
      <w:r>
        <w:rPr>
          <w:rStyle w:val="59"/>
        </w:rPr>
        <w:t>7</w:t>
      </w:r>
      <w:r>
        <w:rPr>
          <w:rFonts w:asciiTheme="minorHAnsi" w:hAnsiTheme="minorHAnsi" w:eastAsiaTheme="minorEastAsia" w:cstheme="minorBidi"/>
          <w:szCs w:val="22"/>
        </w:rPr>
        <w:tab/>
      </w:r>
      <w:r>
        <w:rPr>
          <w:rStyle w:val="59"/>
          <w:rFonts w:hint="eastAsia"/>
        </w:rPr>
        <w:t>要求</w:t>
      </w:r>
      <w:r>
        <w:tab/>
      </w:r>
      <w:r>
        <w:fldChar w:fldCharType="begin"/>
      </w:r>
      <w:r>
        <w:instrText xml:space="preserve"> PAGEREF _Toc83905552 \h </w:instrText>
      </w:r>
      <w:r>
        <w:fldChar w:fldCharType="separate"/>
      </w:r>
      <w:r>
        <w:t>19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"_Toc83905553" </w:instrText>
      </w:r>
      <w:r>
        <w:fldChar w:fldCharType="separate"/>
      </w:r>
      <w:r>
        <w:rPr>
          <w:rStyle w:val="59"/>
        </w:rPr>
        <w:t>8</w:t>
      </w:r>
      <w:r>
        <w:rPr>
          <w:rFonts w:asciiTheme="minorHAnsi" w:hAnsiTheme="minorHAnsi" w:eastAsiaTheme="minorEastAsia" w:cstheme="minorBidi"/>
          <w:szCs w:val="22"/>
        </w:rPr>
        <w:tab/>
      </w:r>
      <w:r>
        <w:rPr>
          <w:rStyle w:val="59"/>
          <w:rFonts w:hint="eastAsia"/>
        </w:rPr>
        <w:t>投标语言及计量单位</w:t>
      </w:r>
      <w:r>
        <w:tab/>
      </w:r>
      <w:r>
        <w:fldChar w:fldCharType="begin"/>
      </w:r>
      <w:r>
        <w:instrText xml:space="preserve"> PAGEREF _Toc83905553 \h </w:instrText>
      </w:r>
      <w:r>
        <w:fldChar w:fldCharType="separate"/>
      </w:r>
      <w:r>
        <w:t>19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"_Toc83905554" </w:instrText>
      </w:r>
      <w:r>
        <w:fldChar w:fldCharType="separate"/>
      </w:r>
      <w:r>
        <w:rPr>
          <w:rStyle w:val="59"/>
        </w:rPr>
        <w:t>9</w:t>
      </w:r>
      <w:r>
        <w:rPr>
          <w:rFonts w:asciiTheme="minorHAnsi" w:hAnsiTheme="minorHAnsi" w:eastAsiaTheme="minorEastAsia" w:cstheme="minorBidi"/>
          <w:szCs w:val="22"/>
        </w:rPr>
        <w:tab/>
      </w:r>
      <w:r>
        <w:rPr>
          <w:rStyle w:val="59"/>
          <w:rFonts w:hint="eastAsia"/>
        </w:rPr>
        <w:t>投标文件的构成</w:t>
      </w:r>
      <w:r>
        <w:tab/>
      </w:r>
      <w:r>
        <w:fldChar w:fldCharType="begin"/>
      </w:r>
      <w:r>
        <w:instrText xml:space="preserve"> PAGEREF _Toc83905554 \h </w:instrText>
      </w:r>
      <w:r>
        <w:fldChar w:fldCharType="separate"/>
      </w:r>
      <w:r>
        <w:t>19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"_Toc83905555" </w:instrText>
      </w:r>
      <w:r>
        <w:fldChar w:fldCharType="separate"/>
      </w:r>
      <w:r>
        <w:rPr>
          <w:rStyle w:val="59"/>
        </w:rPr>
        <w:t>10</w:t>
      </w:r>
      <w:r>
        <w:rPr>
          <w:rFonts w:asciiTheme="minorHAnsi" w:hAnsiTheme="minorHAnsi" w:eastAsiaTheme="minorEastAsia" w:cstheme="minorBidi"/>
          <w:szCs w:val="22"/>
        </w:rPr>
        <w:tab/>
      </w:r>
      <w:r>
        <w:rPr>
          <w:rStyle w:val="59"/>
          <w:rFonts w:hint="eastAsia"/>
        </w:rPr>
        <w:t>投标文件格式</w:t>
      </w:r>
      <w:r>
        <w:tab/>
      </w:r>
      <w:r>
        <w:fldChar w:fldCharType="begin"/>
      </w:r>
      <w:r>
        <w:instrText xml:space="preserve"> PAGEREF _Toc83905555 \h </w:instrText>
      </w:r>
      <w:r>
        <w:fldChar w:fldCharType="separate"/>
      </w:r>
      <w:r>
        <w:t>20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"_Toc83905556" </w:instrText>
      </w:r>
      <w:r>
        <w:fldChar w:fldCharType="separate"/>
      </w:r>
      <w:r>
        <w:rPr>
          <w:rStyle w:val="59"/>
        </w:rPr>
        <w:t>11</w:t>
      </w:r>
      <w:r>
        <w:rPr>
          <w:rFonts w:asciiTheme="minorHAnsi" w:hAnsiTheme="minorHAnsi" w:eastAsiaTheme="minorEastAsia" w:cstheme="minorBidi"/>
          <w:szCs w:val="22"/>
        </w:rPr>
        <w:tab/>
      </w:r>
      <w:r>
        <w:rPr>
          <w:rStyle w:val="59"/>
          <w:rFonts w:hint="eastAsia"/>
        </w:rPr>
        <w:t>资格证明文件</w:t>
      </w:r>
      <w:r>
        <w:tab/>
      </w:r>
      <w:r>
        <w:fldChar w:fldCharType="begin"/>
      </w:r>
      <w:r>
        <w:instrText xml:space="preserve"> PAGEREF _Toc83905556 \h </w:instrText>
      </w:r>
      <w:r>
        <w:fldChar w:fldCharType="separate"/>
      </w:r>
      <w:r>
        <w:t>20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"_Toc83905557" </w:instrText>
      </w:r>
      <w:r>
        <w:fldChar w:fldCharType="separate"/>
      </w:r>
      <w:r>
        <w:rPr>
          <w:rStyle w:val="59"/>
        </w:rPr>
        <w:t>12</w:t>
      </w:r>
      <w:r>
        <w:rPr>
          <w:rFonts w:asciiTheme="minorHAnsi" w:hAnsiTheme="minorHAnsi" w:eastAsiaTheme="minorEastAsia" w:cstheme="minorBidi"/>
          <w:szCs w:val="22"/>
        </w:rPr>
        <w:tab/>
      </w:r>
      <w:r>
        <w:rPr>
          <w:rStyle w:val="59"/>
          <w:rFonts w:hint="eastAsia"/>
        </w:rPr>
        <w:t>货物和服务的证明文件</w:t>
      </w:r>
      <w:r>
        <w:tab/>
      </w:r>
      <w:r>
        <w:fldChar w:fldCharType="begin"/>
      </w:r>
      <w:r>
        <w:instrText xml:space="preserve"> PAGEREF _Toc83905557 \h </w:instrText>
      </w:r>
      <w:r>
        <w:fldChar w:fldCharType="separate"/>
      </w:r>
      <w:r>
        <w:t>20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"_Toc83905558" </w:instrText>
      </w:r>
      <w:r>
        <w:fldChar w:fldCharType="separate"/>
      </w:r>
      <w:r>
        <w:rPr>
          <w:rStyle w:val="59"/>
        </w:rPr>
        <w:t>13</w:t>
      </w:r>
      <w:r>
        <w:rPr>
          <w:rFonts w:asciiTheme="minorHAnsi" w:hAnsiTheme="minorHAnsi" w:eastAsiaTheme="minorEastAsia" w:cstheme="minorBidi"/>
          <w:szCs w:val="22"/>
        </w:rPr>
        <w:tab/>
      </w:r>
      <w:r>
        <w:rPr>
          <w:rStyle w:val="59"/>
          <w:rFonts w:hint="eastAsia"/>
        </w:rPr>
        <w:t>投标报价与投标货币</w:t>
      </w:r>
      <w:r>
        <w:tab/>
      </w:r>
      <w:r>
        <w:fldChar w:fldCharType="begin"/>
      </w:r>
      <w:r>
        <w:instrText xml:space="preserve"> PAGEREF _Toc83905558 \h </w:instrText>
      </w:r>
      <w:r>
        <w:fldChar w:fldCharType="separate"/>
      </w:r>
      <w:r>
        <w:t>21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"_Toc83905559" </w:instrText>
      </w:r>
      <w:r>
        <w:fldChar w:fldCharType="separate"/>
      </w:r>
      <w:r>
        <w:rPr>
          <w:rStyle w:val="59"/>
        </w:rPr>
        <w:t>14</w:t>
      </w:r>
      <w:r>
        <w:rPr>
          <w:rFonts w:asciiTheme="minorHAnsi" w:hAnsiTheme="minorHAnsi" w:eastAsiaTheme="minorEastAsia" w:cstheme="minorBidi"/>
          <w:szCs w:val="22"/>
        </w:rPr>
        <w:tab/>
      </w:r>
      <w:r>
        <w:rPr>
          <w:rStyle w:val="59"/>
          <w:rFonts w:hint="eastAsia"/>
        </w:rPr>
        <w:t>投标保证金</w:t>
      </w:r>
      <w:r>
        <w:tab/>
      </w:r>
      <w:r>
        <w:fldChar w:fldCharType="begin"/>
      </w:r>
      <w:r>
        <w:instrText xml:space="preserve"> PAGEREF _Toc83905559 \h </w:instrText>
      </w:r>
      <w:r>
        <w:fldChar w:fldCharType="separate"/>
      </w:r>
      <w:r>
        <w:t>21</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"_Toc83905560" </w:instrText>
      </w:r>
      <w:r>
        <w:fldChar w:fldCharType="separate"/>
      </w:r>
      <w:r>
        <w:rPr>
          <w:rStyle w:val="59"/>
        </w:rPr>
        <w:t>15</w:t>
      </w:r>
      <w:r>
        <w:rPr>
          <w:rFonts w:asciiTheme="minorHAnsi" w:hAnsiTheme="minorHAnsi" w:eastAsiaTheme="minorEastAsia" w:cstheme="minorBidi"/>
          <w:szCs w:val="22"/>
        </w:rPr>
        <w:tab/>
      </w:r>
      <w:r>
        <w:rPr>
          <w:rStyle w:val="59"/>
          <w:rFonts w:hint="eastAsia"/>
        </w:rPr>
        <w:t>投标有效期</w:t>
      </w:r>
      <w:r>
        <w:tab/>
      </w:r>
      <w:r>
        <w:fldChar w:fldCharType="begin"/>
      </w:r>
      <w:r>
        <w:instrText xml:space="preserve"> PAGEREF _Toc83905560 \h </w:instrText>
      </w:r>
      <w:r>
        <w:fldChar w:fldCharType="separate"/>
      </w:r>
      <w:r>
        <w:t>22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"_Toc83905561" </w:instrText>
      </w:r>
      <w:r>
        <w:fldChar w:fldCharType="separate"/>
      </w:r>
      <w:r>
        <w:rPr>
          <w:rStyle w:val="59"/>
        </w:rPr>
        <w:t>16</w:t>
      </w:r>
      <w:r>
        <w:rPr>
          <w:rFonts w:asciiTheme="minorHAnsi" w:hAnsiTheme="minorHAnsi" w:eastAsiaTheme="minorEastAsia" w:cstheme="minorBidi"/>
          <w:szCs w:val="22"/>
        </w:rPr>
        <w:tab/>
      </w:r>
      <w:r>
        <w:rPr>
          <w:rStyle w:val="59"/>
          <w:rFonts w:hint="eastAsia"/>
        </w:rPr>
        <w:t>投标文件的签署及规定</w:t>
      </w:r>
      <w:r>
        <w:tab/>
      </w:r>
      <w:r>
        <w:fldChar w:fldCharType="begin"/>
      </w:r>
      <w:r>
        <w:instrText xml:space="preserve"> PAGEREF _Toc83905561 \h </w:instrText>
      </w:r>
      <w:r>
        <w:fldChar w:fldCharType="separate"/>
      </w:r>
      <w:r>
        <w:t>22</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"_Toc83905562" </w:instrText>
      </w:r>
      <w:r>
        <w:fldChar w:fldCharType="separate"/>
      </w:r>
      <w:r>
        <w:rPr>
          <w:rStyle w:val="59"/>
          <w:rFonts w:hint="eastAsia"/>
        </w:rPr>
        <w:t>Ｄ</w:t>
      </w:r>
      <w:r>
        <w:rPr>
          <w:rStyle w:val="59"/>
        </w:rPr>
        <w:t xml:space="preserve">  </w:t>
      </w:r>
      <w:r>
        <w:rPr>
          <w:rStyle w:val="59"/>
          <w:rFonts w:hint="eastAsia"/>
        </w:rPr>
        <w:t>投标文件的递交</w:t>
      </w:r>
      <w:r>
        <w:tab/>
      </w:r>
      <w:r>
        <w:fldChar w:fldCharType="begin"/>
      </w:r>
      <w:r>
        <w:instrText xml:space="preserve"> PAGEREF _Toc83905562 \h </w:instrText>
      </w:r>
      <w:r>
        <w:fldChar w:fldCharType="separate"/>
      </w:r>
      <w:r>
        <w:t>22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"_Toc83905563" </w:instrText>
      </w:r>
      <w:r>
        <w:fldChar w:fldCharType="separate"/>
      </w:r>
      <w:r>
        <w:rPr>
          <w:rStyle w:val="59"/>
        </w:rPr>
        <w:t>17</w:t>
      </w:r>
      <w:r>
        <w:rPr>
          <w:rFonts w:asciiTheme="minorHAnsi" w:hAnsiTheme="minorHAnsi" w:eastAsiaTheme="minorEastAsia" w:cstheme="minorBidi"/>
          <w:szCs w:val="22"/>
        </w:rPr>
        <w:tab/>
      </w:r>
      <w:r>
        <w:rPr>
          <w:rStyle w:val="59"/>
          <w:rFonts w:hint="eastAsia"/>
        </w:rPr>
        <w:t>投标文件的密封和标记</w:t>
      </w:r>
      <w:r>
        <w:tab/>
      </w:r>
      <w:r>
        <w:fldChar w:fldCharType="begin"/>
      </w:r>
      <w:r>
        <w:instrText xml:space="preserve"> PAGEREF _Toc83905563 \h </w:instrText>
      </w:r>
      <w:r>
        <w:fldChar w:fldCharType="separate"/>
      </w:r>
      <w:r>
        <w:t>22</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"_Toc83905564" </w:instrText>
      </w:r>
      <w:r>
        <w:fldChar w:fldCharType="separate"/>
      </w:r>
      <w:r>
        <w:rPr>
          <w:rStyle w:val="59"/>
        </w:rPr>
        <w:t>18</w:t>
      </w:r>
      <w:r>
        <w:rPr>
          <w:rFonts w:asciiTheme="minorHAnsi" w:hAnsiTheme="minorHAnsi" w:eastAsiaTheme="minorEastAsia" w:cstheme="minorBidi"/>
          <w:szCs w:val="22"/>
        </w:rPr>
        <w:tab/>
      </w:r>
      <w:r>
        <w:rPr>
          <w:rStyle w:val="59"/>
          <w:rFonts w:hint="eastAsia"/>
        </w:rPr>
        <w:t>递交投标文件的时间、地点及截止时间</w:t>
      </w:r>
      <w:r>
        <w:tab/>
      </w:r>
      <w:r>
        <w:fldChar w:fldCharType="begin"/>
      </w:r>
      <w:r>
        <w:instrText xml:space="preserve"> PAGEREF _Toc83905564 \h </w:instrText>
      </w:r>
      <w:r>
        <w:fldChar w:fldCharType="separate"/>
      </w:r>
      <w:r>
        <w:t>23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"_Toc83905565" </w:instrText>
      </w:r>
      <w:r>
        <w:fldChar w:fldCharType="separate"/>
      </w:r>
      <w:r>
        <w:rPr>
          <w:rStyle w:val="59"/>
        </w:rPr>
        <w:t>19</w:t>
      </w:r>
      <w:r>
        <w:rPr>
          <w:rFonts w:asciiTheme="minorHAnsi" w:hAnsiTheme="minorHAnsi" w:eastAsiaTheme="minorEastAsia" w:cstheme="minorBidi"/>
          <w:szCs w:val="22"/>
        </w:rPr>
        <w:tab/>
      </w:r>
      <w:r>
        <w:rPr>
          <w:rStyle w:val="59"/>
          <w:rFonts w:hint="eastAsia"/>
        </w:rPr>
        <w:t>迟交的投标文件</w:t>
      </w:r>
      <w:r>
        <w:tab/>
      </w:r>
      <w:r>
        <w:fldChar w:fldCharType="begin"/>
      </w:r>
      <w:r>
        <w:instrText xml:space="preserve"> PAGEREF _Toc83905565 \h </w:instrText>
      </w:r>
      <w:r>
        <w:fldChar w:fldCharType="separate"/>
      </w:r>
      <w:r>
        <w:t>23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"_Toc83905566" </w:instrText>
      </w:r>
      <w:r>
        <w:fldChar w:fldCharType="separate"/>
      </w:r>
      <w:r>
        <w:rPr>
          <w:rStyle w:val="59"/>
        </w:rPr>
        <w:t>20</w:t>
      </w:r>
      <w:r>
        <w:rPr>
          <w:rFonts w:asciiTheme="minorHAnsi" w:hAnsiTheme="minorHAnsi" w:eastAsiaTheme="minorEastAsia" w:cstheme="minorBidi"/>
          <w:szCs w:val="22"/>
        </w:rPr>
        <w:tab/>
      </w:r>
      <w:r>
        <w:rPr>
          <w:rStyle w:val="59"/>
          <w:rFonts w:hint="eastAsia"/>
        </w:rPr>
        <w:t>投标文件的修改和撤回</w:t>
      </w:r>
      <w:r>
        <w:tab/>
      </w:r>
      <w:r>
        <w:fldChar w:fldCharType="begin"/>
      </w:r>
      <w:r>
        <w:instrText xml:space="preserve"> PAGEREF _Toc83905566 \h </w:instrText>
      </w:r>
      <w:r>
        <w:fldChar w:fldCharType="separate"/>
      </w:r>
      <w:r>
        <w:t>23</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"_Toc83905567" </w:instrText>
      </w:r>
      <w:r>
        <w:fldChar w:fldCharType="separate"/>
      </w:r>
      <w:r>
        <w:rPr>
          <w:rStyle w:val="59"/>
          <w:rFonts w:hint="eastAsia"/>
        </w:rPr>
        <w:t>Ｅ</w:t>
      </w:r>
      <w:r>
        <w:rPr>
          <w:rStyle w:val="59"/>
        </w:rPr>
        <w:t xml:space="preserve">  </w:t>
      </w:r>
      <w:r>
        <w:rPr>
          <w:rStyle w:val="59"/>
          <w:rFonts w:hint="eastAsia"/>
        </w:rPr>
        <w:t>开标和评标</w:t>
      </w:r>
      <w:r>
        <w:tab/>
      </w:r>
      <w:r>
        <w:fldChar w:fldCharType="begin"/>
      </w:r>
      <w:r>
        <w:instrText xml:space="preserve"> PAGEREF _Toc83905567 \h </w:instrText>
      </w:r>
      <w:r>
        <w:fldChar w:fldCharType="separate"/>
      </w:r>
      <w:r>
        <w:t>23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"_Toc83905568" </w:instrText>
      </w:r>
      <w:r>
        <w:fldChar w:fldCharType="separate"/>
      </w:r>
      <w:r>
        <w:rPr>
          <w:rStyle w:val="59"/>
        </w:rPr>
        <w:t>21</w:t>
      </w:r>
      <w:r>
        <w:rPr>
          <w:rFonts w:asciiTheme="minorHAnsi" w:hAnsiTheme="minorHAnsi" w:eastAsiaTheme="minorEastAsia" w:cstheme="minorBidi"/>
          <w:szCs w:val="22"/>
        </w:rPr>
        <w:tab/>
      </w:r>
      <w:r>
        <w:rPr>
          <w:rStyle w:val="59"/>
          <w:rFonts w:hint="eastAsia"/>
        </w:rPr>
        <w:t>开标</w:t>
      </w:r>
      <w:r>
        <w:tab/>
      </w:r>
      <w:r>
        <w:fldChar w:fldCharType="begin"/>
      </w:r>
      <w:r>
        <w:instrText xml:space="preserve"> PAGEREF _Toc83905568 \h </w:instrText>
      </w:r>
      <w:r>
        <w:fldChar w:fldCharType="separate"/>
      </w:r>
      <w:r>
        <w:t>23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"_Toc83905569" </w:instrText>
      </w:r>
      <w:r>
        <w:fldChar w:fldCharType="separate"/>
      </w:r>
      <w:r>
        <w:rPr>
          <w:rStyle w:val="59"/>
        </w:rPr>
        <w:t>22</w:t>
      </w:r>
      <w:r>
        <w:rPr>
          <w:rFonts w:asciiTheme="minorHAnsi" w:hAnsiTheme="minorHAnsi" w:eastAsiaTheme="minorEastAsia" w:cstheme="minorBidi"/>
          <w:szCs w:val="22"/>
        </w:rPr>
        <w:tab/>
      </w:r>
      <w:r>
        <w:rPr>
          <w:rStyle w:val="59"/>
          <w:rFonts w:hint="eastAsia"/>
        </w:rPr>
        <w:t>评标委员会</w:t>
      </w:r>
      <w:r>
        <w:tab/>
      </w:r>
      <w:r>
        <w:fldChar w:fldCharType="begin"/>
      </w:r>
      <w:r>
        <w:instrText xml:space="preserve"> PAGEREF _Toc83905569 \h </w:instrText>
      </w:r>
      <w:r>
        <w:fldChar w:fldCharType="separate"/>
      </w:r>
      <w:r>
        <w:t>24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"_Toc83905570" </w:instrText>
      </w:r>
      <w:r>
        <w:fldChar w:fldCharType="separate"/>
      </w:r>
      <w:r>
        <w:rPr>
          <w:rStyle w:val="59"/>
        </w:rPr>
        <w:t>23</w:t>
      </w:r>
      <w:r>
        <w:rPr>
          <w:rFonts w:asciiTheme="minorHAnsi" w:hAnsiTheme="minorHAnsi" w:eastAsiaTheme="minorEastAsia" w:cstheme="minorBidi"/>
          <w:szCs w:val="22"/>
        </w:rPr>
        <w:tab/>
      </w:r>
      <w:r>
        <w:rPr>
          <w:rStyle w:val="59"/>
          <w:rFonts w:hint="eastAsia"/>
        </w:rPr>
        <w:t>对投标文件的初审和响应性的确定</w:t>
      </w:r>
      <w:r>
        <w:tab/>
      </w:r>
      <w:r>
        <w:fldChar w:fldCharType="begin"/>
      </w:r>
      <w:r>
        <w:instrText xml:space="preserve"> PAGEREF _Toc83905570 \h </w:instrText>
      </w:r>
      <w:r>
        <w:fldChar w:fldCharType="separate"/>
      </w:r>
      <w:r>
        <w:t>24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"_Toc83905571" </w:instrText>
      </w:r>
      <w:r>
        <w:fldChar w:fldCharType="separate"/>
      </w:r>
      <w:r>
        <w:rPr>
          <w:rStyle w:val="59"/>
        </w:rPr>
        <w:t>24</w:t>
      </w:r>
      <w:r>
        <w:rPr>
          <w:rFonts w:asciiTheme="minorHAnsi" w:hAnsiTheme="minorHAnsi" w:eastAsiaTheme="minorEastAsia" w:cstheme="minorBidi"/>
          <w:szCs w:val="22"/>
        </w:rPr>
        <w:tab/>
      </w:r>
      <w:r>
        <w:rPr>
          <w:rStyle w:val="59"/>
          <w:rFonts w:hint="eastAsia"/>
        </w:rPr>
        <w:t>投标报价的审核</w:t>
      </w:r>
      <w:r>
        <w:tab/>
      </w:r>
      <w:r>
        <w:fldChar w:fldCharType="begin"/>
      </w:r>
      <w:r>
        <w:instrText xml:space="preserve"> PAGEREF _Toc83905571 \h </w:instrText>
      </w:r>
      <w:r>
        <w:fldChar w:fldCharType="separate"/>
      </w:r>
      <w:r>
        <w:t>24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"_Toc83905572" </w:instrText>
      </w:r>
      <w:r>
        <w:fldChar w:fldCharType="separate"/>
      </w:r>
      <w:r>
        <w:rPr>
          <w:rStyle w:val="59"/>
        </w:rPr>
        <w:t>25</w:t>
      </w:r>
      <w:r>
        <w:rPr>
          <w:rFonts w:asciiTheme="minorHAnsi" w:hAnsiTheme="minorHAnsi" w:eastAsiaTheme="minorEastAsia" w:cstheme="minorBidi"/>
          <w:szCs w:val="22"/>
        </w:rPr>
        <w:tab/>
      </w:r>
      <w:r>
        <w:rPr>
          <w:rStyle w:val="59"/>
          <w:rFonts w:hint="eastAsia"/>
        </w:rPr>
        <w:t>询标及投标文件的澄清</w:t>
      </w:r>
      <w:r>
        <w:tab/>
      </w:r>
      <w:r>
        <w:fldChar w:fldCharType="begin"/>
      </w:r>
      <w:r>
        <w:instrText xml:space="preserve"> PAGEREF _Toc83905572 \h </w:instrText>
      </w:r>
      <w:r>
        <w:fldChar w:fldCharType="separate"/>
      </w:r>
      <w:r>
        <w:t>25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"_Toc83905573" </w:instrText>
      </w:r>
      <w:r>
        <w:fldChar w:fldCharType="separate"/>
      </w:r>
      <w:r>
        <w:rPr>
          <w:rStyle w:val="59"/>
        </w:rPr>
        <w:t>26</w:t>
      </w:r>
      <w:r>
        <w:rPr>
          <w:rFonts w:asciiTheme="minorHAnsi" w:hAnsiTheme="minorHAnsi" w:eastAsiaTheme="minorEastAsia" w:cstheme="minorBidi"/>
          <w:szCs w:val="22"/>
        </w:rPr>
        <w:tab/>
      </w:r>
      <w:r>
        <w:rPr>
          <w:rStyle w:val="59"/>
          <w:rFonts w:hint="eastAsia"/>
        </w:rPr>
        <w:t>评标原则</w:t>
      </w:r>
      <w:r>
        <w:tab/>
      </w:r>
      <w:r>
        <w:fldChar w:fldCharType="begin"/>
      </w:r>
      <w:r>
        <w:instrText xml:space="preserve"> PAGEREF _Toc83905573 \h </w:instrText>
      </w:r>
      <w:r>
        <w:fldChar w:fldCharType="separate"/>
      </w:r>
      <w:r>
        <w:t>25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"_Toc83905574" </w:instrText>
      </w:r>
      <w:r>
        <w:fldChar w:fldCharType="separate"/>
      </w:r>
      <w:r>
        <w:rPr>
          <w:rStyle w:val="59"/>
        </w:rPr>
        <w:t>27</w:t>
      </w:r>
      <w:r>
        <w:rPr>
          <w:rFonts w:asciiTheme="minorHAnsi" w:hAnsiTheme="minorHAnsi" w:eastAsiaTheme="minorEastAsia" w:cstheme="minorBidi"/>
          <w:szCs w:val="22"/>
        </w:rPr>
        <w:tab/>
      </w:r>
      <w:r>
        <w:rPr>
          <w:rStyle w:val="59"/>
          <w:rFonts w:hint="eastAsia"/>
        </w:rPr>
        <w:t>评标标准和办法</w:t>
      </w:r>
      <w:r>
        <w:tab/>
      </w:r>
      <w:r>
        <w:fldChar w:fldCharType="begin"/>
      </w:r>
      <w:r>
        <w:instrText xml:space="preserve"> PAGEREF _Toc83905574 \h </w:instrText>
      </w:r>
      <w:r>
        <w:fldChar w:fldCharType="separate"/>
      </w:r>
      <w:r>
        <w:t>25</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"_Toc83905575" </w:instrText>
      </w:r>
      <w:r>
        <w:fldChar w:fldCharType="separate"/>
      </w:r>
      <w:r>
        <w:rPr>
          <w:rStyle w:val="59"/>
        </w:rPr>
        <w:t>28</w:t>
      </w:r>
      <w:r>
        <w:rPr>
          <w:rFonts w:asciiTheme="minorHAnsi" w:hAnsiTheme="minorHAnsi" w:eastAsiaTheme="minorEastAsia" w:cstheme="minorBidi"/>
          <w:szCs w:val="22"/>
        </w:rPr>
        <w:tab/>
      </w:r>
      <w:r>
        <w:rPr>
          <w:rStyle w:val="59"/>
          <w:rFonts w:hint="eastAsia"/>
        </w:rPr>
        <w:t>评标注意事项</w:t>
      </w:r>
      <w:r>
        <w:tab/>
      </w:r>
      <w:r>
        <w:fldChar w:fldCharType="begin"/>
      </w:r>
      <w:r>
        <w:instrText xml:space="preserve"> PAGEREF _Toc83905575 \h </w:instrText>
      </w:r>
      <w:r>
        <w:fldChar w:fldCharType="separate"/>
      </w:r>
      <w:r>
        <w:t>29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"_Toc83905576" </w:instrText>
      </w:r>
      <w:r>
        <w:fldChar w:fldCharType="separate"/>
      </w:r>
      <w:r>
        <w:rPr>
          <w:rStyle w:val="59"/>
        </w:rPr>
        <w:t>29</w:t>
      </w:r>
      <w:r>
        <w:rPr>
          <w:rFonts w:asciiTheme="minorHAnsi" w:hAnsiTheme="minorHAnsi" w:eastAsiaTheme="minorEastAsia" w:cstheme="minorBidi"/>
          <w:szCs w:val="22"/>
        </w:rPr>
        <w:tab/>
      </w:r>
      <w:r>
        <w:rPr>
          <w:rStyle w:val="59"/>
          <w:rFonts w:hint="eastAsia"/>
        </w:rPr>
        <w:t>接受和拒绝投标的权利</w:t>
      </w:r>
      <w:r>
        <w:tab/>
      </w:r>
      <w:r>
        <w:fldChar w:fldCharType="begin"/>
      </w:r>
      <w:r>
        <w:instrText xml:space="preserve"> PAGEREF _Toc83905576 \h </w:instrText>
      </w:r>
      <w:r>
        <w:fldChar w:fldCharType="separate"/>
      </w:r>
      <w:r>
        <w:t>29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"_Toc83905577" </w:instrText>
      </w:r>
      <w:r>
        <w:fldChar w:fldCharType="separate"/>
      </w:r>
      <w:r>
        <w:rPr>
          <w:rStyle w:val="59"/>
        </w:rPr>
        <w:t>30</w:t>
      </w:r>
      <w:r>
        <w:rPr>
          <w:rFonts w:asciiTheme="minorHAnsi" w:hAnsiTheme="minorHAnsi" w:eastAsiaTheme="minorEastAsia" w:cstheme="minorBidi"/>
          <w:szCs w:val="22"/>
        </w:rPr>
        <w:tab/>
      </w:r>
      <w:r>
        <w:rPr>
          <w:rStyle w:val="59"/>
          <w:rFonts w:hint="eastAsia"/>
        </w:rPr>
        <w:t>发布中标结果公告和发放中标通知书</w:t>
      </w:r>
      <w:r>
        <w:tab/>
      </w:r>
      <w:r>
        <w:fldChar w:fldCharType="begin"/>
      </w:r>
      <w:r>
        <w:instrText xml:space="preserve"> PAGEREF _Toc83905577 \h </w:instrText>
      </w:r>
      <w:r>
        <w:fldChar w:fldCharType="separate"/>
      </w:r>
      <w:r>
        <w:t>29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"_Toc83905578" </w:instrText>
      </w:r>
      <w:r>
        <w:fldChar w:fldCharType="separate"/>
      </w:r>
      <w:r>
        <w:rPr>
          <w:rStyle w:val="59"/>
        </w:rPr>
        <w:t>31</w:t>
      </w:r>
      <w:r>
        <w:rPr>
          <w:rFonts w:asciiTheme="minorHAnsi" w:hAnsiTheme="minorHAnsi" w:eastAsiaTheme="minorEastAsia" w:cstheme="minorBidi"/>
          <w:szCs w:val="22"/>
        </w:rPr>
        <w:tab/>
      </w:r>
      <w:r>
        <w:rPr>
          <w:rStyle w:val="59"/>
          <w:rFonts w:hint="eastAsia"/>
        </w:rPr>
        <w:t>供应商对中标结果的质疑、投诉</w:t>
      </w:r>
      <w:r>
        <w:tab/>
      </w:r>
      <w:r>
        <w:fldChar w:fldCharType="begin"/>
      </w:r>
      <w:r>
        <w:instrText xml:space="preserve"> PAGEREF _Toc83905578 \h </w:instrText>
      </w:r>
      <w:r>
        <w:fldChar w:fldCharType="separate"/>
      </w:r>
      <w:r>
        <w:t>29</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"_Toc83905579" </w:instrText>
      </w:r>
      <w:r>
        <w:fldChar w:fldCharType="separate"/>
      </w:r>
      <w:r>
        <w:rPr>
          <w:rStyle w:val="59"/>
          <w:rFonts w:hint="eastAsia"/>
        </w:rPr>
        <w:t>Ｆ</w:t>
      </w:r>
      <w:r>
        <w:rPr>
          <w:rStyle w:val="59"/>
        </w:rPr>
        <w:t xml:space="preserve">  </w:t>
      </w:r>
      <w:r>
        <w:rPr>
          <w:rStyle w:val="59"/>
          <w:rFonts w:hint="eastAsia"/>
        </w:rPr>
        <w:t>授予合同</w:t>
      </w:r>
      <w:r>
        <w:tab/>
      </w:r>
      <w:r>
        <w:fldChar w:fldCharType="begin"/>
      </w:r>
      <w:r>
        <w:instrText xml:space="preserve"> PAGEREF _Toc83905579 \h </w:instrText>
      </w:r>
      <w:r>
        <w:fldChar w:fldCharType="separate"/>
      </w:r>
      <w:r>
        <w:t>30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"_Toc83905580" </w:instrText>
      </w:r>
      <w:r>
        <w:fldChar w:fldCharType="separate"/>
      </w:r>
      <w:r>
        <w:rPr>
          <w:rStyle w:val="59"/>
        </w:rPr>
        <w:t>32</w:t>
      </w:r>
      <w:r>
        <w:rPr>
          <w:rFonts w:asciiTheme="minorHAnsi" w:hAnsiTheme="minorHAnsi" w:eastAsiaTheme="minorEastAsia" w:cstheme="minorBidi"/>
          <w:szCs w:val="22"/>
        </w:rPr>
        <w:tab/>
      </w:r>
      <w:r>
        <w:rPr>
          <w:rStyle w:val="59"/>
          <w:rFonts w:hint="eastAsia"/>
        </w:rPr>
        <w:t>合同授予标准</w:t>
      </w:r>
      <w:r>
        <w:tab/>
      </w:r>
      <w:r>
        <w:fldChar w:fldCharType="begin"/>
      </w:r>
      <w:r>
        <w:instrText xml:space="preserve"> PAGEREF _Toc83905580 \h </w:instrText>
      </w:r>
      <w:r>
        <w:fldChar w:fldCharType="separate"/>
      </w:r>
      <w:r>
        <w:t>30</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"_Toc83905581" </w:instrText>
      </w:r>
      <w:r>
        <w:fldChar w:fldCharType="separate"/>
      </w:r>
      <w:r>
        <w:rPr>
          <w:rStyle w:val="59"/>
        </w:rPr>
        <w:t>33</w:t>
      </w:r>
      <w:r>
        <w:rPr>
          <w:rFonts w:asciiTheme="minorHAnsi" w:hAnsiTheme="minorHAnsi" w:eastAsiaTheme="minorEastAsia" w:cstheme="minorBidi"/>
          <w:szCs w:val="22"/>
        </w:rPr>
        <w:tab/>
      </w:r>
      <w:r>
        <w:rPr>
          <w:rStyle w:val="59"/>
          <w:rFonts w:hint="eastAsia"/>
        </w:rPr>
        <w:t>签订合同</w:t>
      </w:r>
      <w:r>
        <w:tab/>
      </w:r>
      <w:r>
        <w:fldChar w:fldCharType="begin"/>
      </w:r>
      <w:r>
        <w:instrText xml:space="preserve"> PAGEREF _Toc83905581 \h </w:instrText>
      </w:r>
      <w:r>
        <w:fldChar w:fldCharType="separate"/>
      </w:r>
      <w:r>
        <w:t>30</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"_Toc83905582" </w:instrText>
      </w:r>
      <w:r>
        <w:fldChar w:fldCharType="separate"/>
      </w:r>
      <w:r>
        <w:rPr>
          <w:rStyle w:val="59"/>
        </w:rPr>
        <w:t xml:space="preserve">G   </w:t>
      </w:r>
      <w:r>
        <w:rPr>
          <w:rStyle w:val="59"/>
          <w:rFonts w:hint="eastAsia"/>
        </w:rPr>
        <w:t>政府采购政策</w:t>
      </w:r>
      <w:r>
        <w:tab/>
      </w:r>
      <w:r>
        <w:fldChar w:fldCharType="begin"/>
      </w:r>
      <w:r>
        <w:instrText xml:space="preserve"> PAGEREF _Toc83905582 \h </w:instrText>
      </w:r>
      <w:r>
        <w:fldChar w:fldCharType="separate"/>
      </w:r>
      <w:r>
        <w:t>30</w:t>
      </w:r>
      <w:r>
        <w:fldChar w:fldCharType="end"/>
      </w:r>
      <w:r>
        <w:fldChar w:fldCharType="end"/>
      </w:r>
    </w:p>
    <w:p>
      <w:pPr>
        <w:pStyle w:val="34"/>
        <w:rPr>
          <w:rFonts w:asciiTheme="minorHAnsi" w:hAnsiTheme="minorHAnsi" w:eastAsiaTheme="minorEastAsia" w:cstheme="minorBidi"/>
          <w:b w:val="0"/>
          <w:bCs w:val="0"/>
          <w:caps w:val="0"/>
          <w:szCs w:val="22"/>
        </w:rPr>
      </w:pPr>
      <w:r>
        <w:fldChar w:fldCharType="begin"/>
      </w:r>
      <w:r>
        <w:instrText xml:space="preserve"> HYPERLINK \l "_Toc83905588" </w:instrText>
      </w:r>
      <w:r>
        <w:fldChar w:fldCharType="separate"/>
      </w:r>
      <w:r>
        <w:rPr>
          <w:rStyle w:val="59"/>
          <w:rFonts w:hint="eastAsia" w:ascii="宋体" w:hAnsi="宋体"/>
        </w:rPr>
        <w:t>第四部分</w:t>
      </w:r>
      <w:r>
        <w:rPr>
          <w:rStyle w:val="59"/>
          <w:rFonts w:ascii="宋体" w:hAnsi="宋体"/>
        </w:rPr>
        <w:t xml:space="preserve">  </w:t>
      </w:r>
      <w:r>
        <w:rPr>
          <w:rStyle w:val="59"/>
          <w:rFonts w:hint="eastAsia" w:ascii="宋体" w:hAnsi="宋体"/>
        </w:rPr>
        <w:t>参考合同</w:t>
      </w:r>
      <w:r>
        <w:tab/>
      </w:r>
      <w:r>
        <w:fldChar w:fldCharType="begin"/>
      </w:r>
      <w:r>
        <w:instrText xml:space="preserve"> PAGEREF _Toc83905588 \h </w:instrText>
      </w:r>
      <w:r>
        <w:fldChar w:fldCharType="separate"/>
      </w:r>
      <w:r>
        <w:t>33</w:t>
      </w:r>
      <w:r>
        <w:fldChar w:fldCharType="end"/>
      </w:r>
      <w:r>
        <w:fldChar w:fldCharType="end"/>
      </w:r>
    </w:p>
    <w:p>
      <w:pPr>
        <w:pStyle w:val="34"/>
        <w:rPr>
          <w:rFonts w:asciiTheme="minorHAnsi" w:hAnsiTheme="minorHAnsi" w:eastAsiaTheme="minorEastAsia" w:cstheme="minorBidi"/>
          <w:b w:val="0"/>
          <w:bCs w:val="0"/>
          <w:caps w:val="0"/>
          <w:szCs w:val="22"/>
        </w:rPr>
      </w:pPr>
      <w:r>
        <w:fldChar w:fldCharType="begin"/>
      </w:r>
      <w:r>
        <w:instrText xml:space="preserve"> HYPERLINK \l "_Toc83905589" </w:instrText>
      </w:r>
      <w:r>
        <w:fldChar w:fldCharType="separate"/>
      </w:r>
      <w:r>
        <w:rPr>
          <w:rStyle w:val="59"/>
          <w:rFonts w:hint="eastAsia" w:ascii="宋体" w:hAnsi="宋体"/>
        </w:rPr>
        <w:t>第五部分</w:t>
      </w:r>
      <w:r>
        <w:rPr>
          <w:rStyle w:val="59"/>
          <w:rFonts w:ascii="宋体" w:hAnsi="宋体"/>
        </w:rPr>
        <w:t xml:space="preserve">  </w:t>
      </w:r>
      <w:r>
        <w:rPr>
          <w:rStyle w:val="59"/>
          <w:rFonts w:hint="eastAsia" w:ascii="宋体" w:hAnsi="宋体"/>
        </w:rPr>
        <w:t>投标文件格式</w:t>
      </w:r>
      <w:r>
        <w:tab/>
      </w:r>
      <w:r>
        <w:fldChar w:fldCharType="begin"/>
      </w:r>
      <w:r>
        <w:instrText xml:space="preserve"> PAGEREF _Toc83905589 \h </w:instrText>
      </w:r>
      <w:r>
        <w:fldChar w:fldCharType="separate"/>
      </w:r>
      <w:r>
        <w:t>42</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"_Toc83905590" </w:instrText>
      </w:r>
      <w:r>
        <w:fldChar w:fldCharType="separate"/>
      </w:r>
      <w:r>
        <w:rPr>
          <w:rStyle w:val="59"/>
          <w:rFonts w:hint="eastAsia"/>
        </w:rPr>
        <w:t>封面格式</w:t>
      </w:r>
      <w:r>
        <w:tab/>
      </w:r>
      <w:r>
        <w:fldChar w:fldCharType="begin"/>
      </w:r>
      <w:r>
        <w:instrText xml:space="preserve"> PAGEREF _Toc83905590 \h </w:instrText>
      </w:r>
      <w:r>
        <w:fldChar w:fldCharType="separate"/>
      </w:r>
      <w:r>
        <w:t>42</w:t>
      </w:r>
      <w:r>
        <w:fldChar w:fldCharType="end"/>
      </w:r>
      <w:r>
        <w:fldChar w:fldCharType="end"/>
      </w:r>
    </w:p>
    <w:p>
      <w:pPr>
        <w:pStyle w:val="42"/>
        <w:tabs>
          <w:tab w:val="left" w:pos="1200"/>
        </w:tabs>
        <w:rPr>
          <w:rFonts w:asciiTheme="minorHAnsi" w:hAnsiTheme="minorHAnsi" w:eastAsiaTheme="minorEastAsia" w:cstheme="minorBidi"/>
          <w:smallCaps w:val="0"/>
          <w:szCs w:val="22"/>
        </w:rPr>
      </w:pPr>
      <w:r>
        <w:fldChar w:fldCharType="begin"/>
      </w:r>
      <w:r>
        <w:instrText xml:space="preserve"> HYPERLINK \l "_Toc83905591" </w:instrText>
      </w:r>
      <w:r>
        <w:fldChar w:fldCharType="separate"/>
      </w:r>
      <w:r>
        <w:rPr>
          <w:rStyle w:val="59"/>
          <w:rFonts w:hint="eastAsia"/>
        </w:rPr>
        <w:t>第一章</w:t>
      </w:r>
      <w:r>
        <w:rPr>
          <w:rFonts w:asciiTheme="minorHAnsi" w:hAnsiTheme="minorHAnsi" w:eastAsiaTheme="minorEastAsia" w:cstheme="minorBidi"/>
          <w:smallCaps w:val="0"/>
          <w:szCs w:val="22"/>
        </w:rPr>
        <w:tab/>
      </w:r>
      <w:r>
        <w:rPr>
          <w:rStyle w:val="59"/>
          <w:rFonts w:hint="eastAsia"/>
        </w:rPr>
        <w:t>资格审查文件</w:t>
      </w:r>
      <w:r>
        <w:tab/>
      </w:r>
      <w:r>
        <w:fldChar w:fldCharType="begin"/>
      </w:r>
      <w:r>
        <w:instrText xml:space="preserve"> PAGEREF _Toc83905591 \h </w:instrText>
      </w:r>
      <w:r>
        <w:fldChar w:fldCharType="separate"/>
      </w:r>
      <w:r>
        <w:t>44</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"_Toc83905592" </w:instrText>
      </w:r>
      <w:r>
        <w:fldChar w:fldCharType="separate"/>
      </w:r>
      <w:r>
        <w:rPr>
          <w:rStyle w:val="59"/>
          <w:rFonts w:hint="eastAsia" w:hAnsi="黑体"/>
        </w:rPr>
        <w:t>（一）资格审查文件要求提交的有效证明文件</w:t>
      </w:r>
      <w:r>
        <w:tab/>
      </w:r>
      <w:r>
        <w:fldChar w:fldCharType="begin"/>
      </w:r>
      <w:r>
        <w:instrText xml:space="preserve"> PAGEREF _Toc83905592 \h </w:instrText>
      </w:r>
      <w:r>
        <w:fldChar w:fldCharType="separate"/>
      </w:r>
      <w:r>
        <w:t>46</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"_Toc83905593" </w:instrText>
      </w:r>
      <w:r>
        <w:fldChar w:fldCharType="separate"/>
      </w:r>
      <w:r>
        <w:rPr>
          <w:rStyle w:val="59"/>
          <w:rFonts w:hint="eastAsia" w:hAnsi="黑体"/>
        </w:rPr>
        <w:t>（二）无重大违法记录声明函</w:t>
      </w:r>
      <w:r>
        <w:tab/>
      </w:r>
      <w:r>
        <w:fldChar w:fldCharType="begin"/>
      </w:r>
      <w:r>
        <w:instrText xml:space="preserve"> PAGEREF _Toc83905593 \h </w:instrText>
      </w:r>
      <w:r>
        <w:fldChar w:fldCharType="separate"/>
      </w:r>
      <w:r>
        <w:t>47</w:t>
      </w:r>
      <w:r>
        <w:fldChar w:fldCharType="end"/>
      </w:r>
      <w:r>
        <w:fldChar w:fldCharType="end"/>
      </w:r>
    </w:p>
    <w:p>
      <w:pPr>
        <w:pStyle w:val="42"/>
        <w:tabs>
          <w:tab w:val="left" w:pos="1200"/>
        </w:tabs>
        <w:rPr>
          <w:rFonts w:asciiTheme="minorHAnsi" w:hAnsiTheme="minorHAnsi" w:eastAsiaTheme="minorEastAsia" w:cstheme="minorBidi"/>
          <w:smallCaps w:val="0"/>
          <w:szCs w:val="22"/>
        </w:rPr>
      </w:pPr>
      <w:r>
        <w:fldChar w:fldCharType="begin"/>
      </w:r>
      <w:r>
        <w:instrText xml:space="preserve"> HYPERLINK \l "_Toc83905594" </w:instrText>
      </w:r>
      <w:r>
        <w:fldChar w:fldCharType="separate"/>
      </w:r>
      <w:r>
        <w:rPr>
          <w:rStyle w:val="59"/>
          <w:rFonts w:hint="eastAsia"/>
        </w:rPr>
        <w:t>第二章</w:t>
      </w:r>
      <w:r>
        <w:rPr>
          <w:rFonts w:asciiTheme="minorHAnsi" w:hAnsiTheme="minorHAnsi" w:eastAsiaTheme="minorEastAsia" w:cstheme="minorBidi"/>
          <w:smallCaps w:val="0"/>
          <w:szCs w:val="22"/>
        </w:rPr>
        <w:tab/>
      </w:r>
      <w:r>
        <w:rPr>
          <w:rStyle w:val="59"/>
          <w:rFonts w:hint="eastAsia"/>
        </w:rPr>
        <w:t>投标文件商务及技术部分</w:t>
      </w:r>
      <w:r>
        <w:tab/>
      </w:r>
      <w:r>
        <w:fldChar w:fldCharType="begin"/>
      </w:r>
      <w:r>
        <w:instrText xml:space="preserve"> PAGEREF _Toc83905594 \h </w:instrText>
      </w:r>
      <w:r>
        <w:fldChar w:fldCharType="separate"/>
      </w:r>
      <w:r>
        <w:t>48</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"_Toc83905595" </w:instrText>
      </w:r>
      <w:r>
        <w:fldChar w:fldCharType="separate"/>
      </w:r>
      <w:r>
        <w:rPr>
          <w:rStyle w:val="59"/>
          <w:rFonts w:hint="eastAsia"/>
        </w:rPr>
        <w:t>符合性自查表</w:t>
      </w:r>
      <w:r>
        <w:tab/>
      </w:r>
      <w:r>
        <w:fldChar w:fldCharType="begin"/>
      </w:r>
      <w:r>
        <w:instrText xml:space="preserve"> PAGEREF _Toc83905595 \h </w:instrText>
      </w:r>
      <w:r>
        <w:fldChar w:fldCharType="separate"/>
      </w:r>
      <w:r>
        <w:t>50</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"_Toc83905596" </w:instrText>
      </w:r>
      <w:r>
        <w:fldChar w:fldCharType="separate"/>
      </w:r>
      <w:r>
        <w:rPr>
          <w:rStyle w:val="59"/>
          <w:rFonts w:hint="eastAsia" w:hAnsi="黑体"/>
        </w:rPr>
        <w:t>评审项目投标资料表</w:t>
      </w:r>
      <w:r>
        <w:tab/>
      </w:r>
      <w:r>
        <w:fldChar w:fldCharType="begin"/>
      </w:r>
      <w:r>
        <w:instrText xml:space="preserve"> PAGEREF _Toc83905596 \h </w:instrText>
      </w:r>
      <w:r>
        <w:fldChar w:fldCharType="separate"/>
      </w:r>
      <w:r>
        <w:t>51</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"_Toc83905597" </w:instrText>
      </w:r>
      <w:r>
        <w:fldChar w:fldCharType="separate"/>
      </w:r>
      <w:r>
        <w:rPr>
          <w:rStyle w:val="59"/>
          <w:rFonts w:hint="eastAsia"/>
          <w:kern w:val="0"/>
        </w:rPr>
        <w:t>（一）法定代表人（负责人）证明书</w:t>
      </w:r>
      <w:r>
        <w:tab/>
      </w:r>
      <w:r>
        <w:fldChar w:fldCharType="begin"/>
      </w:r>
      <w:r>
        <w:instrText xml:space="preserve"> PAGEREF _Toc83905597 \h </w:instrText>
      </w:r>
      <w:r>
        <w:fldChar w:fldCharType="separate"/>
      </w:r>
      <w:r>
        <w:t>52</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"_Toc83905598" </w:instrText>
      </w:r>
      <w:r>
        <w:fldChar w:fldCharType="separate"/>
      </w:r>
      <w:r>
        <w:rPr>
          <w:rStyle w:val="59"/>
          <w:rFonts w:hint="eastAsia"/>
        </w:rPr>
        <w:t>（二）法定代表人（负责人）授权书</w:t>
      </w:r>
      <w:r>
        <w:tab/>
      </w:r>
      <w:r>
        <w:fldChar w:fldCharType="begin"/>
      </w:r>
      <w:r>
        <w:instrText xml:space="preserve"> PAGEREF _Toc83905598 \h </w:instrText>
      </w:r>
      <w:r>
        <w:fldChar w:fldCharType="separate"/>
      </w:r>
      <w:r>
        <w:t>53</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"_Toc83905599" </w:instrText>
      </w:r>
      <w:r>
        <w:fldChar w:fldCharType="separate"/>
      </w:r>
      <w:r>
        <w:rPr>
          <w:rStyle w:val="59"/>
          <w:rFonts w:hint="eastAsia"/>
        </w:rPr>
        <w:t>附件一：投标函</w:t>
      </w:r>
      <w:r>
        <w:tab/>
      </w:r>
      <w:r>
        <w:fldChar w:fldCharType="begin"/>
      </w:r>
      <w:r>
        <w:instrText xml:space="preserve"> PAGEREF _Toc83905599 \h </w:instrText>
      </w:r>
      <w:r>
        <w:fldChar w:fldCharType="separate"/>
      </w:r>
      <w:r>
        <w:t>54</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"_Toc83905600" </w:instrText>
      </w:r>
      <w:r>
        <w:fldChar w:fldCharType="separate"/>
      </w:r>
      <w:r>
        <w:rPr>
          <w:rStyle w:val="59"/>
          <w:rFonts w:hint="eastAsia"/>
        </w:rPr>
        <w:t>附件二：开标一览表</w:t>
      </w:r>
      <w:r>
        <w:tab/>
      </w:r>
      <w:r>
        <w:fldChar w:fldCharType="begin"/>
      </w:r>
      <w:r>
        <w:instrText xml:space="preserve"> PAGEREF _Toc83905600 \h </w:instrText>
      </w:r>
      <w:r>
        <w:fldChar w:fldCharType="separate"/>
      </w:r>
      <w:r>
        <w:t>55</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"_Toc83905601" </w:instrText>
      </w:r>
      <w:r>
        <w:fldChar w:fldCharType="separate"/>
      </w:r>
      <w:r>
        <w:rPr>
          <w:rStyle w:val="59"/>
          <w:rFonts w:hint="eastAsia"/>
        </w:rPr>
        <w:t>附件三：投标分项报价表</w:t>
      </w:r>
      <w:r>
        <w:tab/>
      </w:r>
      <w:r>
        <w:fldChar w:fldCharType="begin"/>
      </w:r>
      <w:r>
        <w:instrText xml:space="preserve"> PAGEREF _Toc83905601 \h </w:instrText>
      </w:r>
      <w:r>
        <w:fldChar w:fldCharType="separate"/>
      </w:r>
      <w:r>
        <w:t>56</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"_Toc83905602" </w:instrText>
      </w:r>
      <w:r>
        <w:fldChar w:fldCharType="separate"/>
      </w:r>
      <w:r>
        <w:rPr>
          <w:rStyle w:val="59"/>
          <w:rFonts w:hint="eastAsia"/>
        </w:rPr>
        <w:t>附件四：商务条款偏离一览表</w:t>
      </w:r>
      <w:r>
        <w:tab/>
      </w:r>
      <w:r>
        <w:fldChar w:fldCharType="begin"/>
      </w:r>
      <w:r>
        <w:instrText xml:space="preserve"> PAGEREF _Toc83905602 \h </w:instrText>
      </w:r>
      <w:r>
        <w:fldChar w:fldCharType="separate"/>
      </w:r>
      <w:r>
        <w:t>57</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"_Toc83905603" </w:instrText>
      </w:r>
      <w:r>
        <w:fldChar w:fldCharType="separate"/>
      </w:r>
      <w:r>
        <w:rPr>
          <w:rStyle w:val="59"/>
          <w:rFonts w:hint="eastAsia"/>
        </w:rPr>
        <w:t>附件五：技术条款偏离一览表</w:t>
      </w:r>
      <w:r>
        <w:tab/>
      </w:r>
      <w:r>
        <w:fldChar w:fldCharType="begin"/>
      </w:r>
      <w:r>
        <w:instrText xml:space="preserve"> PAGEREF _Toc83905603 \h </w:instrText>
      </w:r>
      <w:r>
        <w:fldChar w:fldCharType="separate"/>
      </w:r>
      <w:r>
        <w:t>58</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"_Toc83905604" </w:instrText>
      </w:r>
      <w:r>
        <w:fldChar w:fldCharType="separate"/>
      </w:r>
      <w:r>
        <w:rPr>
          <w:rStyle w:val="59"/>
          <w:rFonts w:hint="eastAsia"/>
        </w:rPr>
        <w:t>附件六：售后服务方案</w:t>
      </w:r>
      <w:r>
        <w:tab/>
      </w:r>
      <w:r>
        <w:fldChar w:fldCharType="begin"/>
      </w:r>
      <w:r>
        <w:instrText xml:space="preserve"> PAGEREF _Toc83905604 \h </w:instrText>
      </w:r>
      <w:r>
        <w:fldChar w:fldCharType="separate"/>
      </w:r>
      <w:r>
        <w:t>59</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"_Toc83905605" </w:instrText>
      </w:r>
      <w:r>
        <w:fldChar w:fldCharType="separate"/>
      </w:r>
      <w:r>
        <w:rPr>
          <w:rStyle w:val="59"/>
          <w:rFonts w:hint="eastAsia"/>
        </w:rPr>
        <w:t>附件七：中小微企业声明函</w:t>
      </w:r>
      <w:r>
        <w:tab/>
      </w:r>
      <w:r>
        <w:fldChar w:fldCharType="begin"/>
      </w:r>
      <w:r>
        <w:instrText xml:space="preserve"> PAGEREF _Toc83905605 \h </w:instrText>
      </w:r>
      <w:r>
        <w:fldChar w:fldCharType="separate"/>
      </w:r>
      <w:r>
        <w:t>60</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"_Toc83905606" </w:instrText>
      </w:r>
      <w:r>
        <w:fldChar w:fldCharType="separate"/>
      </w:r>
      <w:r>
        <w:rPr>
          <w:rStyle w:val="59"/>
          <w:rFonts w:hint="eastAsia"/>
        </w:rPr>
        <w:t>附件八：业绩一览表</w:t>
      </w:r>
      <w:r>
        <w:tab/>
      </w:r>
      <w:r>
        <w:fldChar w:fldCharType="begin"/>
      </w:r>
      <w:r>
        <w:instrText xml:space="preserve"> PAGEREF _Toc83905606 \h </w:instrText>
      </w:r>
      <w:r>
        <w:fldChar w:fldCharType="separate"/>
      </w:r>
      <w:r>
        <w:t>61</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"_Toc83905607" </w:instrText>
      </w:r>
      <w:r>
        <w:fldChar w:fldCharType="separate"/>
      </w:r>
      <w:r>
        <w:rPr>
          <w:rStyle w:val="59"/>
          <w:rFonts w:hint="eastAsia"/>
        </w:rPr>
        <w:t>附件九：供应商提交的其它商务和技术资料</w:t>
      </w:r>
      <w:r>
        <w:tab/>
      </w:r>
      <w:r>
        <w:fldChar w:fldCharType="begin"/>
      </w:r>
      <w:r>
        <w:instrText xml:space="preserve"> PAGEREF _Toc83905607 \h </w:instrText>
      </w:r>
      <w:r>
        <w:fldChar w:fldCharType="separate"/>
      </w:r>
      <w:r>
        <w:t>62</w:t>
      </w:r>
      <w:r>
        <w:fldChar w:fldCharType="end"/>
      </w:r>
      <w:r>
        <w:fldChar w:fldCharType="end"/>
      </w:r>
    </w:p>
    <w:p>
      <w:pPr>
        <w:pStyle w:val="42"/>
        <w:rPr>
          <w:rFonts w:asciiTheme="minorHAnsi" w:hAnsiTheme="minorHAnsi" w:eastAsiaTheme="minorEastAsia" w:cstheme="minorBidi"/>
          <w:smallCaps w:val="0"/>
          <w:szCs w:val="22"/>
        </w:rPr>
      </w:pPr>
      <w:r>
        <w:fldChar w:fldCharType="begin"/>
      </w:r>
      <w:r>
        <w:instrText xml:space="preserve"> HYPERLINK \l "_Toc83905608" </w:instrText>
      </w:r>
      <w:r>
        <w:fldChar w:fldCharType="separate"/>
      </w:r>
      <w:r>
        <w:rPr>
          <w:rStyle w:val="59"/>
          <w:rFonts w:hint="eastAsia"/>
        </w:rPr>
        <w:t>其</w:t>
      </w:r>
      <w:r>
        <w:rPr>
          <w:rStyle w:val="59"/>
        </w:rPr>
        <w:t xml:space="preserve"> </w:t>
      </w:r>
      <w:r>
        <w:rPr>
          <w:rStyle w:val="59"/>
          <w:rFonts w:hint="eastAsia"/>
        </w:rPr>
        <w:t>他</w:t>
      </w:r>
      <w:r>
        <w:rPr>
          <w:rStyle w:val="59"/>
        </w:rPr>
        <w:t xml:space="preserve"> </w:t>
      </w:r>
      <w:r>
        <w:rPr>
          <w:rStyle w:val="59"/>
          <w:rFonts w:hint="eastAsia"/>
        </w:rPr>
        <w:t>格</w:t>
      </w:r>
      <w:r>
        <w:rPr>
          <w:rStyle w:val="59"/>
        </w:rPr>
        <w:t xml:space="preserve"> </w:t>
      </w:r>
      <w:r>
        <w:rPr>
          <w:rStyle w:val="59"/>
          <w:rFonts w:hint="eastAsia"/>
        </w:rPr>
        <w:t>式</w:t>
      </w:r>
      <w:r>
        <w:tab/>
      </w:r>
      <w:r>
        <w:fldChar w:fldCharType="begin"/>
      </w:r>
      <w:r>
        <w:instrText xml:space="preserve"> PAGEREF _Toc83905608 \h </w:instrText>
      </w:r>
      <w:r>
        <w:fldChar w:fldCharType="separate"/>
      </w:r>
      <w:r>
        <w:t>63</w:t>
      </w:r>
      <w:r>
        <w:fldChar w:fldCharType="end"/>
      </w:r>
      <w:r>
        <w:fldChar w:fldCharType="end"/>
      </w:r>
    </w:p>
    <w:p>
      <w:pPr>
        <w:rPr>
          <w:rFonts w:ascii="宋体" w:hAnsi="宋体"/>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rPr>
        <w:fldChar w:fldCharType="end"/>
      </w:r>
    </w:p>
    <w:bookmarkEnd w:id="0"/>
    <w:p>
      <w:pPr>
        <w:pStyle w:val="4"/>
        <w:numPr>
          <w:ilvl w:val="0"/>
          <w:numId w:val="0"/>
        </w:numPr>
        <w:spacing w:beforeLines="0"/>
        <w:rPr>
          <w:rFonts w:ascii="宋体" w:hAnsi="宋体" w:eastAsia="宋体"/>
          <w:b/>
          <w:color w:val="000000" w:themeColor="text1"/>
        </w:rPr>
      </w:pPr>
      <w:bookmarkStart w:id="1" w:name="_Toc342060322"/>
      <w:bookmarkStart w:id="2" w:name="_Toc330459945"/>
      <w:bookmarkStart w:id="3" w:name="_Toc336681892"/>
      <w:bookmarkStart w:id="4" w:name="_Toc337632315"/>
      <w:bookmarkStart w:id="5" w:name="_Toc339020048"/>
      <w:bookmarkStart w:id="6" w:name="_Toc339441044"/>
      <w:bookmarkStart w:id="7" w:name="_Toc339019954"/>
      <w:bookmarkStart w:id="8" w:name="_Toc340507403"/>
      <w:bookmarkStart w:id="9" w:name="_Toc333935278"/>
      <w:bookmarkStart w:id="10" w:name="_Toc340672830"/>
      <w:bookmarkStart w:id="11" w:name="_Toc339019828"/>
      <w:bookmarkStart w:id="12" w:name="_Toc333238571"/>
      <w:bookmarkStart w:id="13" w:name="_Toc342296708"/>
      <w:bookmarkStart w:id="14" w:name="_Toc345513762"/>
      <w:bookmarkStart w:id="15" w:name="_Toc333237612"/>
      <w:bookmarkStart w:id="16" w:name="_Toc333237723"/>
      <w:bookmarkStart w:id="17" w:name="_Toc365967002"/>
      <w:bookmarkStart w:id="18" w:name="_Toc332270305"/>
      <w:bookmarkStart w:id="19" w:name="_Toc340677031"/>
      <w:bookmarkStart w:id="20" w:name="_Toc331683994"/>
      <w:bookmarkStart w:id="21" w:name="_Toc349127583"/>
      <w:bookmarkStart w:id="22" w:name="_Toc365985108"/>
      <w:bookmarkStart w:id="23" w:name="_Toc336681537"/>
      <w:bookmarkStart w:id="24" w:name="_Toc350756403"/>
      <w:bookmarkStart w:id="25" w:name="_Toc350438702"/>
      <w:bookmarkStart w:id="26" w:name="_Toc333935619"/>
      <w:bookmarkStart w:id="27" w:name="_Toc339020186"/>
      <w:bookmarkStart w:id="28" w:name="_Toc332206657"/>
      <w:bookmarkStart w:id="29" w:name="_Toc339362257"/>
      <w:bookmarkStart w:id="30" w:name="_Toc349143546"/>
      <w:bookmarkStart w:id="31" w:name="_Toc331512856"/>
      <w:bookmarkStart w:id="32" w:name="_Toc341348291"/>
      <w:bookmarkStart w:id="33" w:name="_Toc366072457"/>
      <w:bookmarkStart w:id="34" w:name="_Toc83905538"/>
      <w:bookmarkStart w:id="35" w:name="_Toc500860978"/>
      <w:r>
        <w:rPr>
          <w:rFonts w:hint="eastAsia" w:ascii="宋体" w:hAnsi="宋体" w:eastAsia="宋体"/>
          <w:b/>
          <w:color w:val="000000" w:themeColor="text1"/>
        </w:rPr>
        <w:t>第一</w:t>
      </w:r>
      <w:bookmarkStart w:id="36" w:name="_Hlt23321731"/>
      <w:bookmarkEnd w:id="36"/>
      <w:r>
        <w:rPr>
          <w:rFonts w:hint="eastAsia" w:ascii="宋体" w:hAnsi="宋体" w:eastAsia="宋体"/>
          <w:b/>
          <w:color w:val="000000" w:themeColor="text1"/>
        </w:rPr>
        <w:t>部分 投标邀请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eastAsia="宋体"/>
          <w:b/>
          <w:color w:val="000000" w:themeColor="text1"/>
        </w:rPr>
        <w:t>函</w:t>
      </w:r>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rPr>
      </w:pPr>
      <w:r>
        <w:rPr>
          <w:rFonts w:hint="eastAsia" w:ascii="宋体" w:hAnsi="宋体"/>
          <w:bCs/>
          <w:color w:val="000000" w:themeColor="text1"/>
        </w:rPr>
        <w:t>阳江市投源招标采购有限公司（以下简称“代理采购机构”）受</w:t>
      </w:r>
      <w:r>
        <w:rPr>
          <w:rFonts w:hint="eastAsia" w:ascii="宋体" w:hAnsi="宋体"/>
          <w:bCs/>
          <w:color w:val="000000" w:themeColor="text1"/>
          <w:lang w:eastAsia="zh-CN"/>
        </w:rPr>
        <w:t>阳江市妇幼保健院</w:t>
      </w:r>
      <w:r>
        <w:rPr>
          <w:rFonts w:hint="eastAsia" w:ascii="宋体" w:hAnsi="宋体"/>
          <w:bCs/>
          <w:color w:val="000000" w:themeColor="text1"/>
        </w:rPr>
        <w:t>（以下简称</w:t>
      </w:r>
      <w:r>
        <w:rPr>
          <w:rFonts w:ascii="宋体" w:hAnsi="宋体"/>
          <w:bCs/>
          <w:color w:val="000000" w:themeColor="text1"/>
        </w:rPr>
        <w:t>“</w:t>
      </w:r>
      <w:r>
        <w:rPr>
          <w:rFonts w:hint="eastAsia" w:ascii="宋体" w:hAnsi="宋体"/>
          <w:bCs/>
          <w:color w:val="000000" w:themeColor="text1"/>
        </w:rPr>
        <w:t>采购人</w:t>
      </w:r>
      <w:r>
        <w:rPr>
          <w:rFonts w:ascii="宋体" w:hAnsi="宋体"/>
          <w:bCs/>
          <w:color w:val="000000" w:themeColor="text1"/>
        </w:rPr>
        <w:t>”</w:t>
      </w:r>
      <w:r>
        <w:rPr>
          <w:rFonts w:hint="eastAsia" w:ascii="宋体" w:hAnsi="宋体"/>
          <w:bCs/>
          <w:color w:val="000000" w:themeColor="text1"/>
        </w:rPr>
        <w:t>）的委托，就</w:t>
      </w:r>
      <w:r>
        <w:rPr>
          <w:rFonts w:hint="eastAsia" w:ascii="宋体" w:hAnsi="宋体"/>
          <w:bCs/>
          <w:color w:val="000000" w:themeColor="text1"/>
          <w:lang w:eastAsia="zh-CN"/>
        </w:rPr>
        <w:t>阳江市妇幼保健院一期特殊科室（手术室、NICU、产房、检验科PCR实验室、妇科门诊手术室）洁净区域维保服务采购项目</w:t>
      </w:r>
      <w:r>
        <w:rPr>
          <w:rFonts w:hint="eastAsia" w:ascii="宋体" w:hAnsi="宋体"/>
          <w:bCs/>
          <w:color w:val="000000" w:themeColor="text1"/>
        </w:rPr>
        <w:t>进行公开招标(项目编号:</w:t>
      </w:r>
      <w:r>
        <w:rPr>
          <w:rFonts w:ascii="宋体" w:hAnsi="宋体"/>
          <w:bCs/>
          <w:color w:val="000000" w:themeColor="text1"/>
        </w:rPr>
        <w:t xml:space="preserve"> </w:t>
      </w:r>
      <w:r>
        <w:rPr>
          <w:rFonts w:hint="eastAsia" w:ascii="宋体" w:hAnsi="宋体"/>
          <w:bCs/>
          <w:color w:val="000000" w:themeColor="text1"/>
          <w:lang w:eastAsia="zh-CN"/>
        </w:rPr>
        <w:t>YJFY20250717</w:t>
      </w:r>
      <w:r>
        <w:rPr>
          <w:rFonts w:hint="eastAsia" w:ascii="宋体" w:hAnsi="宋体"/>
          <w:bCs/>
          <w:color w:val="000000" w:themeColor="text1"/>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rPr>
        <w:t>一、</w:t>
      </w:r>
      <w:r>
        <w:rPr>
          <w:rFonts w:hint="eastAsia" w:ascii="宋体" w:hAnsi="宋体" w:cs="Tahoma"/>
          <w:b/>
          <w:bCs/>
          <w:color w:val="000000" w:themeColor="text1"/>
          <w:szCs w:val="21"/>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bCs/>
          <w:color w:val="000000" w:themeColor="text1"/>
          <w:lang w:eastAsia="zh-CN"/>
        </w:rPr>
      </w:pPr>
      <w:r>
        <w:rPr>
          <w:rFonts w:hint="eastAsia" w:ascii="宋体" w:hAnsi="宋体"/>
          <w:bCs/>
          <w:color w:val="000000" w:themeColor="text1"/>
        </w:rPr>
        <w:t>1.项目名称：</w:t>
      </w:r>
      <w:r>
        <w:rPr>
          <w:rFonts w:hint="eastAsia" w:ascii="宋体" w:hAnsi="宋体"/>
          <w:bCs/>
          <w:color w:val="000000" w:themeColor="text1"/>
          <w:lang w:eastAsia="zh-CN"/>
        </w:rPr>
        <w:t>阳江市妇幼保健院一期特殊科室（手术室、NICU、产房、检验科PCR实验室、妇科门诊手术室）洁净区域维保服务采购项目</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eastAsia="zh-CN"/>
        </w:rPr>
      </w:pPr>
      <w:r>
        <w:rPr>
          <w:rFonts w:hint="eastAsia" w:ascii="宋体" w:hAnsi="宋体"/>
          <w:bCs/>
          <w:color w:val="000000" w:themeColor="text1"/>
        </w:rPr>
        <w:t xml:space="preserve">2.项目编号: </w:t>
      </w:r>
      <w:r>
        <w:rPr>
          <w:rFonts w:hint="eastAsia" w:ascii="宋体" w:hAnsi="宋体"/>
          <w:bCs/>
          <w:color w:val="000000" w:themeColor="text1"/>
          <w:lang w:eastAsia="zh-CN"/>
        </w:rPr>
        <w:t>YJFY20250717</w:t>
      </w:r>
    </w:p>
    <w:p>
      <w:pPr>
        <w:autoSpaceDE w:val="0"/>
        <w:autoSpaceDN w:val="0"/>
        <w:adjustRightInd w:val="0"/>
        <w:snapToGrid w:val="0"/>
        <w:spacing w:line="360" w:lineRule="auto"/>
        <w:ind w:firstLine="210" w:firstLineChars="100"/>
        <w:rPr>
          <w:rFonts w:ascii="宋体" w:hAnsi="宋体"/>
          <w:bCs/>
          <w:color w:val="000000" w:themeColor="text1"/>
        </w:rPr>
      </w:pPr>
      <w:r>
        <w:rPr>
          <w:rFonts w:hint="eastAsia" w:ascii="宋体" w:hAnsi="宋体"/>
          <w:bCs/>
          <w:color w:val="000000" w:themeColor="text1"/>
        </w:rPr>
        <w:t>3.投标报价上限：大写：</w:t>
      </w:r>
      <w:r>
        <w:rPr>
          <w:rFonts w:hint="eastAsia" w:ascii="宋体" w:hAnsi="宋体" w:cs="宋体"/>
          <w:sz w:val="24"/>
          <w:szCs w:val="24"/>
          <w:lang w:val="en-US" w:eastAsia="zh-CN"/>
        </w:rPr>
        <w:t>叁拾捌万贰仟伍佰元</w:t>
      </w:r>
      <w:r>
        <w:rPr>
          <w:rFonts w:hint="eastAsia" w:ascii="宋体" w:hAnsi="宋体" w:cs="宋体"/>
          <w:sz w:val="24"/>
          <w:szCs w:val="24"/>
          <w:lang w:val="zh-CN"/>
        </w:rPr>
        <w:t>整</w:t>
      </w:r>
    </w:p>
    <w:p>
      <w:pPr>
        <w:widowControl/>
        <w:tabs>
          <w:tab w:val="left" w:pos="735"/>
        </w:tabs>
        <w:adjustRightInd w:val="0"/>
        <w:snapToGrid w:val="0"/>
        <w:spacing w:line="360" w:lineRule="auto"/>
        <w:ind w:left="1890" w:leftChars="900"/>
        <w:rPr>
          <w:rFonts w:ascii="宋体" w:hAnsi="宋体"/>
          <w:bCs/>
          <w:color w:val="000000" w:themeColor="text1"/>
        </w:rPr>
      </w:pPr>
      <w:r>
        <w:rPr>
          <w:rFonts w:hint="eastAsia" w:ascii="宋体" w:hAnsi="宋体"/>
          <w:bCs/>
          <w:color w:val="000000" w:themeColor="text1"/>
        </w:rPr>
        <w:t>小写：</w:t>
      </w:r>
      <w:r>
        <w:rPr>
          <w:rFonts w:hint="eastAsia" w:ascii="宋体" w:hAnsi="宋体"/>
          <w:bCs/>
          <w:color w:val="000000" w:themeColor="text1"/>
          <w:lang w:val="en-US" w:eastAsia="zh-CN"/>
        </w:rPr>
        <w:t>￥</w:t>
      </w:r>
      <w:r>
        <w:rPr>
          <w:rFonts w:hint="eastAsia" w:ascii="宋体" w:hAnsi="宋体" w:cs="宋体"/>
          <w:sz w:val="24"/>
          <w:szCs w:val="24"/>
          <w:lang w:val="en-US" w:eastAsia="zh-CN"/>
        </w:rPr>
        <w:t>382500</w:t>
      </w:r>
      <w:r>
        <w:rPr>
          <w:rFonts w:hint="eastAsia" w:ascii="宋体" w:hAnsi="宋体" w:cs="宋体"/>
          <w:sz w:val="24"/>
          <w:szCs w:val="24"/>
          <w:lang w:val="zh-CN"/>
        </w:rPr>
        <w:t>.00</w:t>
      </w:r>
      <w:r>
        <w:rPr>
          <w:rFonts w:hint="eastAsia" w:ascii="宋体" w:hAnsi="宋体"/>
          <w:bCs/>
          <w:color w:val="000000" w:themeColor="text1"/>
          <w:szCs w:val="21"/>
        </w:rPr>
        <w:t>元（</w:t>
      </w:r>
      <w:r>
        <w:rPr>
          <w:rFonts w:hint="eastAsia" w:ascii="宋体" w:hAnsi="宋体"/>
          <w:bCs/>
          <w:color w:val="000000" w:themeColor="text1"/>
        </w:rPr>
        <w:t>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rPr>
      </w:pPr>
      <w:r>
        <w:rPr>
          <w:rFonts w:hint="eastAsia" w:ascii="宋体" w:hAnsi="宋体"/>
          <w:bCs/>
          <w:color w:val="000000" w:themeColor="text1"/>
        </w:rPr>
        <w:t>4.数  量：一项</w:t>
      </w:r>
    </w:p>
    <w:p>
      <w:pPr>
        <w:widowControl/>
        <w:tabs>
          <w:tab w:val="left" w:pos="735"/>
        </w:tabs>
        <w:adjustRightInd w:val="0"/>
        <w:snapToGrid w:val="0"/>
        <w:spacing w:line="360" w:lineRule="auto"/>
        <w:ind w:left="1260" w:leftChars="100" w:hanging="1050" w:hangingChars="500"/>
        <w:rPr>
          <w:rFonts w:hint="default" w:ascii="宋体" w:hAnsi="宋体" w:eastAsia="宋体"/>
          <w:szCs w:val="21"/>
          <w:lang w:val="en-US" w:eastAsia="zh-CN"/>
        </w:rPr>
      </w:pPr>
      <w:r>
        <w:rPr>
          <w:rFonts w:hint="eastAsia" w:ascii="宋体" w:hAnsi="宋体"/>
          <w:bCs/>
          <w:color w:val="000000" w:themeColor="text1"/>
        </w:rPr>
        <w:t>5.</w:t>
      </w:r>
      <w:r>
        <w:rPr>
          <w:rFonts w:hint="eastAsia" w:ascii="宋体" w:hAnsi="宋体"/>
          <w:bCs/>
          <w:color w:val="000000" w:themeColor="text1"/>
          <w:lang w:val="en-US" w:eastAsia="zh-CN"/>
        </w:rPr>
        <w:t>服务</w:t>
      </w:r>
      <w:r>
        <w:rPr>
          <w:rFonts w:hint="eastAsia" w:ascii="宋体" w:hAnsi="宋体"/>
          <w:bCs/>
          <w:color w:val="000000" w:themeColor="text1"/>
          <w:szCs w:val="21"/>
        </w:rPr>
        <w:t>期：</w:t>
      </w:r>
      <w:r>
        <w:rPr>
          <w:rFonts w:hint="eastAsia" w:ascii="宋体" w:hAnsi="宋体"/>
          <w:szCs w:val="21"/>
          <w:lang w:val="en-US" w:eastAsia="zh-CN"/>
        </w:rPr>
        <w:t>12个月</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rPr>
      </w:pPr>
      <w:r>
        <w:rPr>
          <w:rFonts w:hint="eastAsia" w:ascii="宋体" w:hAnsi="宋体" w:cs="Tahoma"/>
          <w:color w:val="000000" w:themeColor="text1"/>
          <w:kern w:val="28"/>
          <w:szCs w:val="21"/>
        </w:rPr>
        <w:t>6.项目采购方式：公开招标</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rPr>
        <w:t>二、投标人资格要求为：</w:t>
      </w:r>
    </w:p>
    <w:p>
      <w:pPr>
        <w:spacing w:line="360" w:lineRule="auto"/>
        <w:ind w:firstLine="210" w:firstLineChars="100"/>
        <w:rPr>
          <w:rFonts w:ascii="宋体" w:hAnsi="宋体"/>
          <w:color w:val="000000" w:themeColor="text1"/>
        </w:rPr>
      </w:pPr>
      <w:r>
        <w:rPr>
          <w:rFonts w:ascii="宋体" w:hAnsi="宋体"/>
          <w:color w:val="000000" w:themeColor="text1"/>
        </w:rPr>
        <w:t>1.投标人应具备《中华人民共和国政府采购法》第二十二条规定的条件</w:t>
      </w:r>
      <w:r>
        <w:rPr>
          <w:rFonts w:hint="eastAsia" w:ascii="宋体" w:hAnsi="宋体"/>
          <w:color w:val="000000" w:themeColor="text1"/>
        </w:rPr>
        <w:t>：</w:t>
      </w:r>
    </w:p>
    <w:p>
      <w:pPr>
        <w:spacing w:line="360" w:lineRule="auto"/>
        <w:ind w:left="420" w:leftChars="200"/>
        <w:rPr>
          <w:rFonts w:ascii="宋体" w:hAnsi="宋体"/>
          <w:color w:val="000000" w:themeColor="text1"/>
          <w:szCs w:val="21"/>
        </w:rPr>
      </w:pPr>
      <w:r>
        <w:rPr>
          <w:rFonts w:ascii="宋体" w:hAnsi="宋体"/>
          <w:color w:val="000000" w:themeColor="text1"/>
        </w:rPr>
        <w:t>1）具有独立承担民事责任的能力；</w:t>
      </w:r>
      <w:r>
        <w:rPr>
          <w:rFonts w:ascii="宋体" w:hAnsi="宋体"/>
          <w:color w:val="000000" w:themeColor="text1"/>
        </w:rPr>
        <w:br w:type="textWrapping"/>
      </w:r>
      <w:r>
        <w:rPr>
          <w:rFonts w:ascii="宋体" w:hAnsi="宋体"/>
          <w:color w:val="000000" w:themeColor="text1"/>
        </w:rPr>
        <w:t>2）具有良好的商业信誉和健全的财务会计制度；</w:t>
      </w:r>
      <w:r>
        <w:rPr>
          <w:rFonts w:ascii="宋体" w:hAnsi="宋体"/>
          <w:color w:val="000000" w:themeColor="text1"/>
        </w:rPr>
        <w:br w:type="textWrapping"/>
      </w:r>
      <w:r>
        <w:rPr>
          <w:rFonts w:ascii="宋体" w:hAnsi="宋体"/>
          <w:color w:val="000000" w:themeColor="text1"/>
        </w:rPr>
        <w:t>3）具有履行合同所必需的设备和专业技术能力；</w:t>
      </w:r>
      <w:r>
        <w:rPr>
          <w:rFonts w:ascii="宋体" w:hAnsi="宋体"/>
          <w:color w:val="000000" w:themeColor="text1"/>
        </w:rPr>
        <w:br w:type="textWrapping"/>
      </w:r>
      <w:r>
        <w:rPr>
          <w:rFonts w:ascii="宋体" w:hAnsi="宋体"/>
          <w:color w:val="000000" w:themeColor="text1"/>
          <w:szCs w:val="21"/>
        </w:rPr>
        <w:t>4）有依法缴纳税收和社会保障资金的良好记录；</w:t>
      </w:r>
      <w:r>
        <w:rPr>
          <w:rFonts w:ascii="宋体" w:hAnsi="宋体"/>
          <w:color w:val="000000" w:themeColor="text1"/>
          <w:szCs w:val="21"/>
        </w:rPr>
        <w:br w:type="textWrapping"/>
      </w:r>
      <w:r>
        <w:rPr>
          <w:rFonts w:ascii="宋体" w:hAnsi="宋体"/>
          <w:color w:val="000000" w:themeColor="text1"/>
          <w:szCs w:val="21"/>
        </w:rPr>
        <w:t>5）参加政府采购活动前三年内，在经营活动中没有重大违法记录；</w:t>
      </w:r>
      <w:r>
        <w:rPr>
          <w:rFonts w:ascii="宋体" w:hAnsi="宋体"/>
          <w:color w:val="000000" w:themeColor="text1"/>
          <w:szCs w:val="21"/>
        </w:rPr>
        <w:br w:type="textWrapping"/>
      </w:r>
      <w:r>
        <w:rPr>
          <w:rFonts w:ascii="宋体" w:hAnsi="宋体"/>
          <w:color w:val="000000" w:themeColor="text1"/>
          <w:szCs w:val="21"/>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rPr>
      </w:pPr>
      <w:r>
        <w:rPr>
          <w:rFonts w:hint="eastAsia" w:ascii="宋体" w:hAnsi="宋体"/>
          <w:color w:val="000000" w:themeColor="text1"/>
          <w:szCs w:val="21"/>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rPr>
      </w:pPr>
      <w:r>
        <w:rPr>
          <w:rFonts w:hint="eastAsia" w:ascii="宋体" w:hAnsi="宋体"/>
          <w:color w:val="000000" w:themeColor="text1"/>
          <w:szCs w:val="21"/>
        </w:rPr>
        <w:t>3.单位负责人为同一人或者存在直接控股、管理关系的不同供应商，不得参加同一合同项</w:t>
      </w:r>
    </w:p>
    <w:p>
      <w:pPr>
        <w:spacing w:line="360" w:lineRule="auto"/>
        <w:ind w:left="525" w:leftChars="200" w:hanging="105" w:hangingChars="50"/>
        <w:rPr>
          <w:rFonts w:ascii="宋体" w:hAnsi="宋体"/>
          <w:color w:val="000000" w:themeColor="text1"/>
          <w:szCs w:val="21"/>
        </w:rPr>
      </w:pPr>
      <w:r>
        <w:rPr>
          <w:rFonts w:hint="eastAsia" w:ascii="宋体" w:hAnsi="宋体"/>
          <w:color w:val="000000" w:themeColor="text1"/>
          <w:szCs w:val="21"/>
        </w:rPr>
        <w:t>下的政府采购活动。</w:t>
      </w:r>
    </w:p>
    <w:p>
      <w:pPr>
        <w:spacing w:line="360" w:lineRule="auto"/>
        <w:ind w:left="420" w:leftChars="100" w:hanging="210" w:hangingChars="100"/>
        <w:rPr>
          <w:rFonts w:hAnsi="宋体" w:cs="宋体"/>
          <w:color w:val="000000" w:themeColor="text1"/>
          <w:szCs w:val="21"/>
        </w:rPr>
      </w:pPr>
      <w:r>
        <w:rPr>
          <w:rFonts w:hint="eastAsia" w:ascii="宋体" w:hAnsi="宋体"/>
          <w:color w:val="000000" w:themeColor="text1"/>
          <w:szCs w:val="21"/>
        </w:rPr>
        <w:t>4.为采购项目提供整体设计、规范编制或者项目管理、监理、检测等服务的投标人，不得再参加该采购项目（包组）的其他采购活动</w:t>
      </w:r>
      <w:r>
        <w:rPr>
          <w:rFonts w:hint="eastAsia" w:hAnsi="宋体" w:cs="宋体"/>
          <w:color w:val="000000" w:themeColor="text1"/>
          <w:szCs w:val="21"/>
        </w:rPr>
        <w:t>。</w:t>
      </w:r>
    </w:p>
    <w:p>
      <w:pPr>
        <w:spacing w:line="360" w:lineRule="auto"/>
        <w:ind w:left="420" w:leftChars="100" w:hanging="210" w:hangingChars="100"/>
        <w:rPr>
          <w:rFonts w:ascii="宋体" w:hAnsi="宋体"/>
          <w:color w:val="000000" w:themeColor="text1"/>
          <w:szCs w:val="21"/>
        </w:rPr>
      </w:pPr>
      <w:r>
        <w:rPr>
          <w:rFonts w:hint="eastAsia" w:ascii="宋体" w:hAnsi="宋体"/>
          <w:color w:val="000000" w:themeColor="text1"/>
          <w:szCs w:val="21"/>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hint="eastAsia" w:ascii="宋体" w:hAnsi="宋体"/>
          <w:color w:val="000000" w:themeColor="text1"/>
          <w:szCs w:val="21"/>
        </w:rPr>
      </w:pPr>
      <w:r>
        <w:rPr>
          <w:rFonts w:hint="eastAsia" w:ascii="宋体" w:hAnsi="宋体"/>
          <w:color w:val="000000" w:themeColor="text1"/>
          <w:szCs w:val="21"/>
        </w:rPr>
        <w:t>6.投标人未被列入“信用中国”网站(</w:t>
      </w:r>
      <w:r>
        <w:fldChar w:fldCharType="begin"/>
      </w:r>
      <w:r>
        <w:instrText xml:space="preserve"> HYPERLINK "http://www.creditchina.gov.cn)" </w:instrText>
      </w:r>
      <w:r>
        <w:fldChar w:fldCharType="separate"/>
      </w:r>
      <w:r>
        <w:rPr>
          <w:rFonts w:hint="eastAsia"/>
          <w:color w:val="000000" w:themeColor="text1"/>
        </w:rPr>
        <w:t>www.creditchina.gov.cn)“记录失信被执行人或重大</w:t>
      </w:r>
      <w:r>
        <w:rPr>
          <w:rFonts w:hint="eastAsia"/>
          <w:color w:val="000000" w:themeColor="text1"/>
        </w:rPr>
        <w:fldChar w:fldCharType="end"/>
      </w:r>
      <w:r>
        <w:rPr>
          <w:rFonts w:hint="eastAsia" w:ascii="宋体" w:hAnsi="宋体"/>
          <w:color w:val="000000" w:themeColor="text1"/>
          <w:szCs w:val="21"/>
        </w:rPr>
        <w:t xml:space="preserve">税收违法案件当事人名单或政府采购严重违法失信行为”记录名单。同时，不处于中国政府采购网(www.ccgp.gov.cn)“政府采购严重违法失信行为信息记录”中的禁止参加政府采购活动期间。 </w:t>
      </w:r>
    </w:p>
    <w:p>
      <w:pPr>
        <w:pStyle w:val="2"/>
        <w:numPr>
          <w:ilvl w:val="0"/>
          <w:numId w:val="0"/>
        </w:numPr>
        <w:ind w:firstLine="210" w:firstLineChars="1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7.投标人须具有《医疗器械生产许可证》、《医疗器械经营许可证》。</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lang w:val="en-US" w:eastAsia="zh-CN"/>
        </w:rPr>
        <w:t>8</w:t>
      </w:r>
      <w:r>
        <w:rPr>
          <w:rFonts w:hint="eastAsia" w:ascii="宋体" w:hAnsi="宋体"/>
          <w:color w:val="000000" w:themeColor="text1"/>
          <w:szCs w:val="21"/>
        </w:rPr>
        <w:t>.本项目不接受联合体投标。</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三、招标</w:t>
      </w:r>
      <w:r>
        <w:rPr>
          <w:rFonts w:ascii="宋体" w:hAnsi="宋体" w:cs="Tahoma"/>
          <w:b/>
          <w:bCs/>
          <w:color w:val="000000" w:themeColor="text1"/>
          <w:szCs w:val="21"/>
        </w:rPr>
        <w:t>文件的公示</w:t>
      </w:r>
    </w:p>
    <w:p>
      <w:pPr>
        <w:widowControl/>
        <w:spacing w:line="360" w:lineRule="auto"/>
        <w:jc w:val="left"/>
        <w:rPr>
          <w:rFonts w:ascii="宋体" w:hAnsi="宋体"/>
          <w:bCs/>
          <w:color w:val="000000" w:themeColor="text1"/>
        </w:rPr>
      </w:pPr>
      <w:r>
        <w:rPr>
          <w:rFonts w:hint="eastAsia" w:ascii="宋体" w:hAnsi="宋体" w:cs="宋体"/>
          <w:color w:val="000000" w:themeColor="text1"/>
          <w:kern w:val="0"/>
          <w:szCs w:val="21"/>
        </w:rPr>
        <w:t xml:space="preserve">  1．</w:t>
      </w:r>
      <w:r>
        <w:rPr>
          <w:rFonts w:hint="eastAsia" w:ascii="宋体" w:hAnsi="宋体" w:cs="Arial"/>
          <w:color w:val="000000" w:themeColor="text1"/>
        </w:rPr>
        <w:t>招标文件公示时</w:t>
      </w:r>
      <w:r>
        <w:rPr>
          <w:rFonts w:hint="eastAsia" w:ascii="宋体" w:hAnsi="宋体"/>
          <w:bCs/>
          <w:color w:val="000000" w:themeColor="text1"/>
        </w:rPr>
        <w:t>间及下载：</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9月25日</w:t>
      </w:r>
      <w:r>
        <w:rPr>
          <w:rFonts w:hint="eastAsia" w:ascii="宋体" w:hAnsi="宋体"/>
          <w:szCs w:val="21"/>
        </w:rPr>
        <w:t>至</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9月30日</w:t>
      </w:r>
      <w:r>
        <w:rPr>
          <w:rFonts w:hint="eastAsia" w:ascii="宋体" w:hAnsi="宋体"/>
          <w:bCs/>
          <w:color w:val="000000" w:themeColor="text1"/>
        </w:rPr>
        <w:t>。</w:t>
      </w:r>
    </w:p>
    <w:p>
      <w:pPr>
        <w:widowControl/>
        <w:adjustRightInd w:val="0"/>
        <w:snapToGrid w:val="0"/>
        <w:spacing w:line="360" w:lineRule="auto"/>
        <w:ind w:left="525" w:leftChars="50" w:hanging="420" w:hangingChars="200"/>
        <w:rPr>
          <w:rFonts w:ascii="宋体" w:hAnsi="宋体" w:cs="宋体"/>
          <w:color w:val="000000" w:themeColor="text1"/>
          <w:kern w:val="0"/>
          <w:szCs w:val="21"/>
        </w:rPr>
      </w:pPr>
      <w:r>
        <w:rPr>
          <w:rFonts w:hint="eastAsia" w:ascii="宋体" w:hAnsi="宋体"/>
          <w:bCs/>
          <w:color w:val="000000" w:themeColor="text1"/>
        </w:rPr>
        <w:t xml:space="preserve"> 2．</w:t>
      </w:r>
      <w:r>
        <w:rPr>
          <w:rFonts w:ascii="宋体" w:hAnsi="宋体"/>
          <w:bCs/>
          <w:color w:val="000000" w:themeColor="text1"/>
        </w:rPr>
        <w:t>根据《广东省实施〈中华人民共和国政府采购法〉办法》第三十五条的规定，投标人认为政府采购文件的内容损害其权益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四、购买招标文件的时间、地点、方式及招标文件售价</w:t>
      </w:r>
    </w:p>
    <w:p>
      <w:pPr>
        <w:widowControl/>
        <w:tabs>
          <w:tab w:val="left" w:pos="735"/>
        </w:tabs>
        <w:adjustRightInd w:val="0"/>
        <w:snapToGrid w:val="0"/>
        <w:spacing w:line="360" w:lineRule="auto"/>
        <w:ind w:left="2310" w:hanging="2310" w:hangingChars="1100"/>
        <w:rPr>
          <w:rFonts w:ascii="宋体" w:hAnsi="宋体"/>
          <w:bCs/>
          <w:color w:val="000000" w:themeColor="text1"/>
        </w:rPr>
      </w:pPr>
      <w:r>
        <w:rPr>
          <w:rFonts w:hint="eastAsia" w:ascii="宋体" w:hAnsi="宋体" w:cs="Tahoma"/>
          <w:color w:val="000000" w:themeColor="text1"/>
        </w:rPr>
        <w:t xml:space="preserve"> 1.购买招标文件</w:t>
      </w:r>
      <w:r>
        <w:rPr>
          <w:rFonts w:hint="eastAsia" w:ascii="宋体" w:hAnsi="宋体"/>
          <w:bCs/>
          <w:color w:val="000000" w:themeColor="text1"/>
        </w:rPr>
        <w:t xml:space="preserve">时间： </w:t>
      </w:r>
      <w:r>
        <w:rPr>
          <w:rFonts w:hint="eastAsia" w:ascii="宋体" w:hAnsi="宋体"/>
          <w:bCs/>
          <w:color w:val="000000" w:themeColor="text1"/>
          <w:lang w:eastAsia="zh-CN"/>
        </w:rPr>
        <w:t>2025年9月25日</w:t>
      </w:r>
      <w:r>
        <w:rPr>
          <w:rFonts w:hint="eastAsia" w:ascii="宋体" w:hAnsi="宋体"/>
          <w:color w:val="000000" w:themeColor="text1"/>
          <w:szCs w:val="21"/>
        </w:rPr>
        <w:t>至</w:t>
      </w:r>
      <w:r>
        <w:rPr>
          <w:rFonts w:hint="eastAsia" w:ascii="宋体" w:hAnsi="宋体"/>
          <w:bCs/>
          <w:color w:val="000000" w:themeColor="text1"/>
          <w:lang w:eastAsia="zh-CN"/>
        </w:rPr>
        <w:t>2025年9月30日</w:t>
      </w:r>
      <w:r>
        <w:rPr>
          <w:rFonts w:hint="eastAsia" w:ascii="宋体" w:hAnsi="宋体"/>
          <w:bCs/>
          <w:color w:val="000000" w:themeColor="text1"/>
        </w:rPr>
        <w:t>，上午9:00～12:00，下午2:30～5:30（节假日除外）（北</w:t>
      </w:r>
      <w:r>
        <w:rPr>
          <w:rFonts w:hint="eastAsia" w:ascii="宋体" w:hAnsi="宋体" w:cs="Arial"/>
          <w:color w:val="000000" w:themeColor="text1"/>
        </w:rPr>
        <w:t>京时间）。</w:t>
      </w:r>
    </w:p>
    <w:p>
      <w:pPr>
        <w:widowControl/>
        <w:tabs>
          <w:tab w:val="left" w:pos="735"/>
        </w:tabs>
        <w:adjustRightInd w:val="0"/>
        <w:snapToGrid w:val="0"/>
        <w:spacing w:line="360" w:lineRule="auto"/>
        <w:ind w:left="2205" w:hanging="2205" w:hangingChars="1050"/>
        <w:rPr>
          <w:rFonts w:ascii="宋体" w:hAnsi="宋体"/>
          <w:bCs/>
          <w:color w:val="000000" w:themeColor="text1"/>
        </w:rPr>
      </w:pPr>
      <w:r>
        <w:rPr>
          <w:rFonts w:hint="eastAsia" w:ascii="宋体" w:hAnsi="宋体" w:cs="Tahoma"/>
          <w:color w:val="000000" w:themeColor="text1"/>
        </w:rPr>
        <w:t xml:space="preserve"> 2.购买招标文件地点：</w:t>
      </w:r>
      <w:r>
        <w:rPr>
          <w:rFonts w:hint="eastAsia" w:ascii="宋体" w:hAnsi="宋体"/>
        </w:rPr>
        <w:t>阳江市投源招标采购有限公司（阳江市阳东区东城镇兴宁大道97号六楼）</w:t>
      </w:r>
    </w:p>
    <w:p>
      <w:pPr>
        <w:widowControl/>
        <w:tabs>
          <w:tab w:val="left" w:pos="735"/>
        </w:tabs>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 3.招标文件售价：</w:t>
      </w:r>
      <w:r>
        <w:rPr>
          <w:rFonts w:hint="eastAsia" w:ascii="宋体" w:hAnsi="宋体"/>
          <w:bCs/>
          <w:color w:val="000000" w:themeColor="text1"/>
          <w:szCs w:val="21"/>
        </w:rPr>
        <w:t>招标文件每套人民币</w:t>
      </w:r>
      <w:r>
        <w:rPr>
          <w:rFonts w:hint="eastAsia" w:ascii="宋体" w:hAnsi="宋体"/>
          <w:bCs/>
          <w:color w:val="000000" w:themeColor="text1"/>
          <w:szCs w:val="21"/>
          <w:lang w:val="en-US" w:eastAsia="zh-CN"/>
        </w:rPr>
        <w:t>5</w:t>
      </w:r>
      <w:r>
        <w:rPr>
          <w:rFonts w:hint="eastAsia" w:ascii="宋体" w:hAnsi="宋体"/>
          <w:bCs/>
          <w:color w:val="000000" w:themeColor="text1"/>
          <w:szCs w:val="21"/>
        </w:rPr>
        <w:t>00元，售后不退</w:t>
      </w:r>
      <w:r>
        <w:rPr>
          <w:rFonts w:hint="eastAsia" w:ascii="宋体" w:hAnsi="宋体"/>
          <w:bCs/>
          <w:color w:val="000000" w:themeColor="text1"/>
        </w:rPr>
        <w:t>。</w:t>
      </w:r>
    </w:p>
    <w:p>
      <w:pPr>
        <w:widowControl/>
        <w:tabs>
          <w:tab w:val="left" w:pos="735"/>
        </w:tabs>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 4.招标文件获取方式：</w:t>
      </w:r>
      <w:r>
        <w:rPr>
          <w:rFonts w:hint="eastAsia" w:ascii="宋体" w:hAnsi="宋体"/>
        </w:rPr>
        <w:t>转账购买、现场登记。</w:t>
      </w:r>
    </w:p>
    <w:p>
      <w:pPr>
        <w:widowControl/>
        <w:tabs>
          <w:tab w:val="left" w:pos="735"/>
        </w:tabs>
        <w:adjustRightInd w:val="0"/>
        <w:snapToGrid w:val="0"/>
        <w:spacing w:line="360" w:lineRule="auto"/>
        <w:ind w:firstLine="105" w:firstLineChars="50"/>
        <w:rPr>
          <w:rFonts w:ascii="宋体" w:hAnsi="宋体"/>
          <w:bCs/>
          <w:color w:val="000000" w:themeColor="text1"/>
          <w:szCs w:val="21"/>
        </w:rPr>
      </w:pPr>
      <w:r>
        <w:rPr>
          <w:rFonts w:hint="eastAsia" w:ascii="宋体" w:hAnsi="宋体"/>
          <w:bCs/>
          <w:color w:val="000000" w:themeColor="text1"/>
        </w:rPr>
        <w:t>5.</w:t>
      </w:r>
      <w:r>
        <w:rPr>
          <w:rFonts w:hint="eastAsia" w:ascii="宋体" w:hAnsi="宋体"/>
          <w:bCs/>
          <w:color w:val="000000" w:themeColor="text1"/>
          <w:szCs w:val="21"/>
        </w:rPr>
        <w:t>购买招标文件必须携带：</w:t>
      </w:r>
    </w:p>
    <w:p>
      <w:pPr>
        <w:widowControl/>
        <w:tabs>
          <w:tab w:val="left" w:pos="735"/>
        </w:tabs>
        <w:adjustRightInd w:val="0"/>
        <w:snapToGrid w:val="0"/>
        <w:spacing w:line="360" w:lineRule="auto"/>
        <w:ind w:left="525" w:leftChars="100" w:hanging="315" w:hangingChars="150"/>
        <w:rPr>
          <w:rFonts w:ascii="宋体" w:hAnsi="宋体"/>
          <w:bCs/>
          <w:color w:val="000000" w:themeColor="text1"/>
        </w:rPr>
      </w:pPr>
      <w:r>
        <w:rPr>
          <w:rFonts w:hint="eastAsia" w:ascii="宋体" w:hAnsi="宋体"/>
          <w:bCs/>
          <w:color w:val="000000" w:themeColor="text1"/>
          <w:szCs w:val="21"/>
        </w:rPr>
        <w:t>1）法定代表人（负责人）证明书原件、法定代表人（负责人）授权委托书原件、法定代表人（负责人）身份证复印件、授权委托人身份证复印件和企业法人营业执照副本复印件及《购买标书登记表》（</w:t>
      </w:r>
      <w:r>
        <w:fldChar w:fldCharType="begin"/>
      </w:r>
      <w:r>
        <w:instrText xml:space="preserve"> HYPERLINK "http://www.yjgpc.gov.cn/" </w:instrText>
      </w:r>
      <w:r>
        <w:fldChar w:fldCharType="separate"/>
      </w:r>
      <w:r>
        <w:rPr>
          <w:rStyle w:val="59"/>
          <w:rFonts w:hint="eastAsia" w:ascii="宋体" w:hAnsi="宋体"/>
          <w:bCs/>
          <w:color w:val="000000" w:themeColor="text1"/>
          <w:szCs w:val="21"/>
        </w:rPr>
        <w:t xml:space="preserve"> </w:t>
      </w:r>
      <w:bookmarkStart w:id="37" w:name="OLE_LINK1"/>
      <w:r>
        <w:rPr>
          <w:rStyle w:val="59"/>
          <w:rFonts w:hint="eastAsia" w:ascii="宋体" w:hAnsi="宋体"/>
          <w:bCs/>
          <w:color w:val="000000" w:themeColor="text1"/>
          <w:szCs w:val="21"/>
          <w:lang w:eastAsia="zh-CN"/>
        </w:rPr>
        <w:t>http://193.112.135.29:8080/</w:t>
      </w:r>
      <w:bookmarkEnd w:id="37"/>
      <w:r>
        <w:rPr>
          <w:rStyle w:val="59"/>
          <w:rFonts w:hint="eastAsia" w:ascii="宋体" w:hAnsi="宋体"/>
          <w:bCs/>
          <w:color w:val="000000" w:themeColor="text1"/>
          <w:szCs w:val="21"/>
          <w:lang w:eastAsia="zh-CN"/>
        </w:rPr>
        <w:t>或http://www.tyzhaobiao.cn</w:t>
      </w:r>
      <w:r>
        <w:rPr>
          <w:rStyle w:val="59"/>
          <w:rFonts w:hint="eastAsia" w:ascii="宋体" w:hAnsi="宋体"/>
          <w:bCs/>
          <w:color w:val="000000" w:themeColor="text1"/>
          <w:szCs w:val="21"/>
        </w:rPr>
        <w:fldChar w:fldCharType="end"/>
      </w:r>
      <w:r>
        <w:rPr>
          <w:rFonts w:hint="eastAsia" w:ascii="宋体" w:hAnsi="宋体"/>
          <w:bCs/>
          <w:color w:val="000000" w:themeColor="text1"/>
          <w:szCs w:val="21"/>
        </w:rPr>
        <w:t>下载专区）加盖公章到指定地址购买。</w:t>
      </w:r>
      <w:r>
        <w:rPr>
          <w:rFonts w:hint="eastAsia" w:ascii="宋体" w:hAnsi="宋体"/>
          <w:b/>
          <w:bCs/>
          <w:color w:val="000000" w:themeColor="text1"/>
        </w:rPr>
        <w:t>报名时投标单位的资料与以上报名条件不符合、不齐全、复印件不清晰或未盖红色公章的将不予受理</w:t>
      </w:r>
      <w:r>
        <w:rPr>
          <w:rFonts w:hint="eastAsia" w:ascii="宋体" w:hAnsi="宋体"/>
          <w:bCs/>
          <w:color w:val="000000" w:themeColor="text1"/>
        </w:rPr>
        <w:t>。</w:t>
      </w:r>
    </w:p>
    <w:p>
      <w:pPr>
        <w:widowControl/>
        <w:tabs>
          <w:tab w:val="left" w:pos="735"/>
        </w:tabs>
        <w:adjustRightInd w:val="0"/>
        <w:snapToGrid w:val="0"/>
        <w:spacing w:line="360" w:lineRule="auto"/>
        <w:ind w:left="598" w:leftChars="135" w:hanging="315" w:hangingChars="150"/>
        <w:rPr>
          <w:rFonts w:hint="eastAsia" w:ascii="宋体" w:hAnsi="宋体"/>
          <w:bCs/>
          <w:color w:val="000000" w:themeColor="text1"/>
        </w:rPr>
      </w:pPr>
      <w:r>
        <w:rPr>
          <w:rFonts w:hint="eastAsia" w:ascii="宋体" w:hAnsi="宋体"/>
          <w:bCs/>
          <w:color w:val="000000" w:themeColor="text1"/>
        </w:rPr>
        <w:t>2）供应商须提供未被列入“信用中国”网站</w:t>
      </w:r>
      <w:r>
        <w:rPr>
          <w:rFonts w:hint="eastAsia" w:ascii="宋体" w:hAnsi="宋体"/>
          <w:bCs/>
        </w:rPr>
        <w:t>(</w:t>
      </w:r>
      <w:r>
        <w:fldChar w:fldCharType="begin"/>
      </w:r>
      <w:r>
        <w:instrText xml:space="preserve"> HYPERLINK "http://www.creditchina.gov.cn)" </w:instrText>
      </w:r>
      <w:r>
        <w:fldChar w:fldCharType="separate"/>
      </w:r>
      <w:r>
        <w:rPr>
          <w:rStyle w:val="59"/>
          <w:rFonts w:hint="eastAsia" w:ascii="宋体" w:hAnsi="宋体"/>
          <w:bCs/>
          <w:color w:val="auto"/>
        </w:rPr>
        <w:t>www.creditchina.gov.cn</w:t>
      </w:r>
      <w:r>
        <w:rPr>
          <w:rStyle w:val="59"/>
          <w:rFonts w:hint="eastAsia" w:ascii="宋体" w:hAnsi="宋体"/>
          <w:bCs/>
          <w:color w:val="auto"/>
          <w:u w:val="none"/>
        </w:rPr>
        <w:t>)“记录失信被执行人或重大</w:t>
      </w:r>
      <w:r>
        <w:rPr>
          <w:rStyle w:val="59"/>
          <w:rFonts w:hint="eastAsia" w:ascii="宋体" w:hAnsi="宋体"/>
          <w:bCs/>
          <w:color w:val="auto"/>
          <w:u w:val="none"/>
        </w:rPr>
        <w:fldChar w:fldCharType="end"/>
      </w:r>
      <w:r>
        <w:rPr>
          <w:rFonts w:hint="eastAsia" w:ascii="宋体" w:hAnsi="宋体"/>
          <w:bCs/>
          <w:color w:val="000000" w:themeColor="text1"/>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pStyle w:val="2"/>
        <w:numPr>
          <w:ilvl w:val="0"/>
          <w:numId w:val="0"/>
        </w:numPr>
        <w:ind w:leftChars="0" w:firstLine="360" w:firstLineChars="200"/>
        <w:rPr>
          <w:rFonts w:hint="eastAsia" w:eastAsia="FangSong_GB2312"/>
          <w:lang w:val="en-US" w:eastAsia="zh-CN"/>
        </w:rPr>
      </w:pPr>
      <w:r>
        <w:rPr>
          <w:rFonts w:hint="eastAsia"/>
          <w:lang w:val="en-US" w:eastAsia="zh-CN"/>
        </w:rPr>
        <w:t>3）</w:t>
      </w:r>
      <w:r>
        <w:rPr>
          <w:rFonts w:hint="eastAsia" w:ascii="宋体" w:hAnsi="宋体" w:eastAsia="宋体" w:cs="Times New Roman"/>
          <w:bCs/>
          <w:color w:val="000000" w:themeColor="text1"/>
          <w:kern w:val="2"/>
          <w:sz w:val="21"/>
          <w:szCs w:val="24"/>
          <w:lang w:val="en-US" w:eastAsia="zh-CN" w:bidi="ar-SA"/>
        </w:rPr>
        <w:t>须提供《医疗器械生产许可证》、《医疗器械经营许可证》</w:t>
      </w:r>
      <w:r>
        <w:rPr>
          <w:rFonts w:hint="eastAsia" w:ascii="宋体" w:hAnsi="宋体" w:eastAsia="宋体" w:cs="宋体"/>
          <w:sz w:val="24"/>
          <w:szCs w:val="24"/>
          <w:lang w:val="en-US" w:eastAsia="zh-CN"/>
        </w:rPr>
        <w:t>。</w:t>
      </w:r>
    </w:p>
    <w:p>
      <w:pPr>
        <w:widowControl/>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五、投标截止时间、开标时间及地点</w:t>
      </w:r>
    </w:p>
    <w:p>
      <w:pPr>
        <w:widowControl/>
        <w:tabs>
          <w:tab w:val="left" w:pos="735"/>
        </w:tabs>
        <w:adjustRightInd w:val="0"/>
        <w:snapToGrid w:val="0"/>
        <w:spacing w:line="360" w:lineRule="auto"/>
        <w:rPr>
          <w:rFonts w:ascii="宋体" w:hAnsi="宋体" w:cs="Arial"/>
          <w:color w:val="000000" w:themeColor="text1"/>
        </w:rPr>
      </w:pPr>
      <w:r>
        <w:rPr>
          <w:rFonts w:hint="eastAsia" w:ascii="宋体" w:hAnsi="宋体" w:cs="Tahoma"/>
          <w:color w:val="000000" w:themeColor="text1"/>
        </w:rPr>
        <w:t xml:space="preserve"> 1.递交投标文件时间：</w:t>
      </w:r>
      <w:r>
        <w:rPr>
          <w:rFonts w:hint="eastAsia" w:ascii="宋体" w:hAnsi="宋体"/>
          <w:bCs/>
          <w:color w:val="000000" w:themeColor="text1"/>
          <w:lang w:eastAsia="zh-CN"/>
        </w:rPr>
        <w:t>2025年10月20日</w:t>
      </w:r>
      <w:r>
        <w:rPr>
          <w:rFonts w:hint="eastAsia" w:ascii="宋体" w:hAnsi="宋体"/>
          <w:color w:val="000000" w:themeColor="text1"/>
        </w:rPr>
        <w:t xml:space="preserve"> 14:30-15:00</w:t>
      </w:r>
      <w:r>
        <w:rPr>
          <w:rFonts w:ascii="宋体" w:hAnsi="宋体" w:cs="Arial"/>
          <w:color w:val="000000" w:themeColor="text1"/>
        </w:rPr>
        <w:t xml:space="preserve"> (</w:t>
      </w:r>
      <w:r>
        <w:rPr>
          <w:rFonts w:hint="eastAsia" w:ascii="宋体" w:hAnsi="宋体" w:cs="Arial"/>
          <w:color w:val="000000" w:themeColor="text1"/>
        </w:rPr>
        <w:t>北京时间</w:t>
      </w:r>
      <w:r>
        <w:rPr>
          <w:rFonts w:ascii="宋体" w:hAnsi="宋体" w:cs="Arial"/>
          <w:color w:val="000000" w:themeColor="text1"/>
        </w:rPr>
        <w:t>)</w:t>
      </w:r>
      <w:r>
        <w:rPr>
          <w:rFonts w:hint="eastAsia" w:ascii="宋体" w:hAnsi="宋体" w:cs="Arial"/>
          <w:color w:val="000000" w:themeColor="text1"/>
        </w:rPr>
        <w:t>。</w:t>
      </w:r>
    </w:p>
    <w:p>
      <w:pPr>
        <w:widowControl/>
        <w:tabs>
          <w:tab w:val="left" w:pos="735"/>
        </w:tabs>
        <w:adjustRightInd w:val="0"/>
        <w:snapToGrid w:val="0"/>
        <w:spacing w:line="360" w:lineRule="auto"/>
        <w:rPr>
          <w:rFonts w:ascii="宋体" w:hAnsi="宋体"/>
          <w:bCs/>
          <w:color w:val="000000" w:themeColor="text1"/>
        </w:rPr>
      </w:pPr>
      <w:r>
        <w:rPr>
          <w:rFonts w:hint="eastAsia" w:ascii="宋体" w:hAnsi="宋体" w:cs="Tahoma"/>
          <w:color w:val="000000" w:themeColor="text1"/>
        </w:rPr>
        <w:t xml:space="preserve"> 2.投标截止时间、开标时间：</w:t>
      </w:r>
      <w:r>
        <w:rPr>
          <w:rFonts w:hint="eastAsia" w:ascii="宋体" w:hAnsi="宋体"/>
          <w:bCs/>
          <w:color w:val="000000" w:themeColor="text1"/>
          <w:lang w:eastAsia="zh-CN"/>
        </w:rPr>
        <w:t>2025年10月20日</w:t>
      </w:r>
      <w:r>
        <w:rPr>
          <w:rFonts w:hint="eastAsia" w:ascii="宋体" w:hAnsi="宋体"/>
          <w:color w:val="000000" w:themeColor="text1"/>
        </w:rPr>
        <w:t>15:00</w:t>
      </w:r>
      <w:r>
        <w:rPr>
          <w:rFonts w:hint="eastAsia" w:ascii="宋体" w:hAnsi="宋体" w:cs="Arial"/>
          <w:color w:val="000000" w:themeColor="text1"/>
          <w:szCs w:val="21"/>
        </w:rPr>
        <w:t xml:space="preserve"> </w:t>
      </w:r>
      <w:r>
        <w:rPr>
          <w:rFonts w:ascii="宋体" w:hAnsi="宋体" w:cs="Arial"/>
          <w:color w:val="000000" w:themeColor="text1"/>
        </w:rPr>
        <w:t>(</w:t>
      </w:r>
      <w:r>
        <w:rPr>
          <w:rFonts w:hint="eastAsia" w:ascii="宋体" w:hAnsi="宋体" w:cs="Arial"/>
          <w:color w:val="000000" w:themeColor="text1"/>
        </w:rPr>
        <w:t>北京时间</w:t>
      </w:r>
      <w:r>
        <w:rPr>
          <w:rFonts w:ascii="宋体" w:hAnsi="宋体" w:cs="Arial"/>
          <w:color w:val="000000" w:themeColor="text1"/>
        </w:rPr>
        <w:t>)</w:t>
      </w:r>
      <w:r>
        <w:rPr>
          <w:rFonts w:hint="eastAsia" w:ascii="宋体" w:hAnsi="宋体" w:cs="Arial"/>
          <w:color w:val="000000" w:themeColor="text1"/>
        </w:rPr>
        <w:t>。</w:t>
      </w:r>
    </w:p>
    <w:p>
      <w:pPr>
        <w:widowControl/>
        <w:tabs>
          <w:tab w:val="left" w:pos="735"/>
        </w:tabs>
        <w:adjustRightInd w:val="0"/>
        <w:snapToGrid w:val="0"/>
        <w:spacing w:line="360" w:lineRule="auto"/>
        <w:ind w:left="3675" w:leftChars="50" w:hanging="3570" w:hangingChars="1700"/>
        <w:rPr>
          <w:rFonts w:ascii="宋体" w:hAnsi="宋体"/>
        </w:rPr>
      </w:pPr>
      <w:r>
        <w:rPr>
          <w:rFonts w:hint="eastAsia" w:ascii="宋体" w:hAnsi="宋体" w:cs="Tahoma"/>
          <w:color w:val="000000" w:themeColor="text1"/>
        </w:rPr>
        <w:t>3.递交投标文件地点、开标地点：</w:t>
      </w:r>
      <w:r>
        <w:rPr>
          <w:rFonts w:hint="eastAsia" w:ascii="宋体" w:hAnsi="宋体"/>
        </w:rPr>
        <w:t>阳江市投源招标采购有限公司（阳江市阳东区东城镇兴宁</w:t>
      </w:r>
    </w:p>
    <w:p>
      <w:pPr>
        <w:widowControl/>
        <w:tabs>
          <w:tab w:val="left" w:pos="735"/>
        </w:tabs>
        <w:adjustRightInd w:val="0"/>
        <w:snapToGrid w:val="0"/>
        <w:spacing w:line="360" w:lineRule="auto"/>
        <w:ind w:left="3675" w:leftChars="1550" w:hanging="420" w:hangingChars="200"/>
        <w:rPr>
          <w:rFonts w:ascii="宋体" w:hAnsi="宋体" w:cs="Tahoma"/>
          <w:b/>
          <w:bCs/>
          <w:color w:val="000000" w:themeColor="text1"/>
          <w:szCs w:val="21"/>
        </w:rPr>
      </w:pPr>
      <w:r>
        <w:rPr>
          <w:rFonts w:hint="eastAsia" w:ascii="宋体" w:hAnsi="宋体"/>
        </w:rPr>
        <w:t>大道97号六楼）</w:t>
      </w:r>
    </w:p>
    <w:p>
      <w:pPr>
        <w:widowControl/>
        <w:tabs>
          <w:tab w:val="left" w:pos="735"/>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rPr>
      </w:pPr>
      <w:r>
        <w:rPr>
          <w:rFonts w:hint="eastAsia" w:ascii="宋体" w:hAnsi="宋体" w:cs="Tahoma"/>
          <w:color w:val="000000" w:themeColor="text1"/>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lang w:eastAsia="zh-CN"/>
        </w:rPr>
      </w:pPr>
      <w:r>
        <w:rPr>
          <w:rFonts w:hint="eastAsia" w:ascii="宋体" w:hAnsi="宋体" w:cs="Tahoma"/>
          <w:color w:val="000000" w:themeColor="text1"/>
          <w:kern w:val="28"/>
          <w:szCs w:val="21"/>
        </w:rPr>
        <w:t>名    称：</w:t>
      </w:r>
      <w:r>
        <w:rPr>
          <w:rFonts w:hint="eastAsia" w:ascii="宋体" w:hAnsi="宋体"/>
          <w:bCs/>
          <w:color w:val="000000" w:themeColor="text1"/>
          <w:lang w:eastAsia="zh-CN"/>
        </w:rPr>
        <w:t>阳江市妇幼保健院</w:t>
      </w:r>
    </w:p>
    <w:p>
      <w:pPr>
        <w:tabs>
          <w:tab w:val="left" w:pos="735"/>
          <w:tab w:val="left" w:pos="4680"/>
        </w:tabs>
        <w:adjustRightInd w:val="0"/>
        <w:snapToGrid w:val="0"/>
        <w:spacing w:line="360" w:lineRule="auto"/>
        <w:ind w:firstLine="420" w:firstLineChars="200"/>
        <w:rPr>
          <w:rFonts w:hint="eastAsia" w:ascii="宋体" w:hAnsi="宋体" w:eastAsia="宋体"/>
          <w:bCs/>
          <w:color w:val="000000" w:themeColor="text1"/>
          <w:lang w:eastAsia="zh-CN"/>
        </w:rPr>
      </w:pPr>
      <w:r>
        <w:rPr>
          <w:rFonts w:hint="eastAsia" w:ascii="宋体" w:hAnsi="宋体" w:cs="Tahoma"/>
          <w:color w:val="000000" w:themeColor="text1"/>
          <w:kern w:val="28"/>
          <w:szCs w:val="21"/>
        </w:rPr>
        <w:t>地    址：</w:t>
      </w:r>
      <w:r>
        <w:rPr>
          <w:rFonts w:hint="eastAsia" w:ascii="宋体" w:hAnsi="宋体" w:cs="Tahoma"/>
          <w:color w:val="000000" w:themeColor="text1"/>
          <w:kern w:val="28"/>
          <w:szCs w:val="21"/>
          <w:lang w:eastAsia="zh-CN"/>
        </w:rPr>
        <w:t>阳江市江城区富康路126号</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lang w:val="en-US" w:eastAsia="zh-CN"/>
        </w:rPr>
      </w:pPr>
      <w:r>
        <w:rPr>
          <w:rFonts w:hint="eastAsia" w:ascii="宋体" w:hAnsi="宋体" w:cs="Tahoma"/>
          <w:color w:val="000000" w:themeColor="text1"/>
          <w:kern w:val="28"/>
          <w:szCs w:val="21"/>
        </w:rPr>
        <w:t>联 系 人：</w:t>
      </w:r>
      <w:r>
        <w:rPr>
          <w:rFonts w:hint="eastAsia" w:ascii="宋体" w:hAnsi="宋体" w:cs="Tahoma"/>
          <w:color w:val="000000" w:themeColor="text1"/>
          <w:kern w:val="28"/>
          <w:szCs w:val="21"/>
          <w:lang w:val="en-US" w:eastAsia="zh-CN"/>
        </w:rPr>
        <w:t>蔡工</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lang w:val="en-US" w:eastAsia="zh-CN"/>
        </w:rPr>
      </w:pPr>
      <w:r>
        <w:rPr>
          <w:rFonts w:hint="eastAsia" w:ascii="宋体" w:hAnsi="宋体" w:cs="Tahoma"/>
          <w:color w:val="000000" w:themeColor="text1"/>
          <w:kern w:val="28"/>
          <w:szCs w:val="21"/>
        </w:rPr>
        <w:t>联系电话：</w:t>
      </w:r>
      <w:r>
        <w:rPr>
          <w:rFonts w:hint="eastAsia" w:ascii="宋体" w:hAnsi="宋体" w:cs="Tahoma"/>
          <w:color w:val="000000" w:themeColor="text1"/>
          <w:kern w:val="28"/>
          <w:szCs w:val="21"/>
          <w:lang w:val="en-US" w:eastAsia="zh-CN"/>
        </w:rPr>
        <w:t>0662-8899566</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rPr>
      </w:pPr>
      <w:r>
        <w:rPr>
          <w:rFonts w:hint="eastAsia" w:ascii="宋体" w:hAnsi="宋体" w:cs="Tahoma"/>
          <w:color w:val="000000" w:themeColor="text1"/>
          <w:kern w:val="28"/>
          <w:szCs w:val="21"/>
        </w:rPr>
        <w:t>2．</w:t>
      </w:r>
      <w:r>
        <w:rPr>
          <w:rFonts w:hint="eastAsia" w:ascii="宋体" w:hAnsi="宋体" w:cs="Tahoma"/>
          <w:color w:val="000000" w:themeColor="text1"/>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rPr>
      </w:pPr>
      <w:r>
        <w:rPr>
          <w:rFonts w:hint="eastAsia" w:ascii="宋体" w:hAnsi="宋体" w:cs="Tahoma"/>
          <w:color w:val="000000" w:themeColor="text1"/>
        </w:rPr>
        <w:t>名    称：阳江市投源招标采购有限公司</w:t>
      </w:r>
    </w:p>
    <w:p>
      <w:pPr>
        <w:widowControl/>
        <w:tabs>
          <w:tab w:val="left" w:pos="735"/>
        </w:tabs>
        <w:adjustRightInd w:val="0"/>
        <w:snapToGrid w:val="0"/>
        <w:spacing w:line="360" w:lineRule="auto"/>
        <w:ind w:firstLine="420" w:firstLineChars="200"/>
        <w:rPr>
          <w:rFonts w:ascii="宋体" w:hAnsi="宋体" w:cs="Tahoma"/>
          <w:color w:val="000000" w:themeColor="text1"/>
        </w:rPr>
      </w:pPr>
      <w:r>
        <w:rPr>
          <w:rFonts w:hint="eastAsia" w:ascii="宋体" w:hAnsi="宋体" w:cs="Tahoma"/>
          <w:color w:val="000000" w:themeColor="text1"/>
        </w:rPr>
        <w:t>地    址：阳江市阳东区东城镇兴宁大道97号六楼</w:t>
      </w:r>
    </w:p>
    <w:p>
      <w:pPr>
        <w:widowControl/>
        <w:tabs>
          <w:tab w:val="left" w:pos="735"/>
        </w:tabs>
        <w:adjustRightInd w:val="0"/>
        <w:snapToGrid w:val="0"/>
        <w:spacing w:line="360" w:lineRule="auto"/>
        <w:ind w:firstLine="420" w:firstLineChars="200"/>
        <w:rPr>
          <w:rFonts w:hint="eastAsia" w:ascii="宋体" w:hAnsi="宋体" w:eastAsia="宋体" w:cs="Tahoma"/>
          <w:color w:val="000000" w:themeColor="text1"/>
          <w:lang w:eastAsia="zh-CN"/>
        </w:rPr>
      </w:pPr>
      <w:r>
        <w:rPr>
          <w:rFonts w:hint="eastAsia" w:ascii="宋体" w:hAnsi="宋体" w:cs="Tahoma"/>
          <w:color w:val="000000" w:themeColor="text1"/>
        </w:rPr>
        <w:t>联 系 人：</w:t>
      </w:r>
      <w:r>
        <w:rPr>
          <w:rFonts w:hint="eastAsia" w:ascii="宋体" w:hAnsi="宋体" w:cs="宋体"/>
          <w:szCs w:val="21"/>
          <w:lang w:eastAsia="zh-CN"/>
        </w:rPr>
        <w:t>胡工</w:t>
      </w:r>
    </w:p>
    <w:p>
      <w:pPr>
        <w:widowControl/>
        <w:tabs>
          <w:tab w:val="left" w:pos="735"/>
        </w:tabs>
        <w:adjustRightInd w:val="0"/>
        <w:snapToGrid w:val="0"/>
        <w:spacing w:line="360" w:lineRule="auto"/>
        <w:ind w:firstLine="420" w:firstLineChars="200"/>
        <w:rPr>
          <w:rFonts w:ascii="宋体" w:hAnsi="宋体" w:cs="Tahoma"/>
          <w:color w:val="000000" w:themeColor="text1"/>
        </w:rPr>
      </w:pPr>
      <w:r>
        <w:rPr>
          <w:rFonts w:hint="eastAsia" w:ascii="宋体" w:hAnsi="宋体" w:cs="Tahoma"/>
          <w:color w:val="000000" w:themeColor="text1"/>
        </w:rPr>
        <w:t>联系电话：</w:t>
      </w:r>
      <w:r>
        <w:rPr>
          <w:rFonts w:ascii="宋体" w:hAnsi="宋体" w:cs="宋体"/>
          <w:szCs w:val="21"/>
        </w:rPr>
        <w:t>18023863877</w:t>
      </w:r>
    </w:p>
    <w:p>
      <w:pPr>
        <w:tabs>
          <w:tab w:val="left" w:pos="4680"/>
        </w:tabs>
        <w:adjustRightInd w:val="0"/>
        <w:snapToGrid w:val="0"/>
        <w:spacing w:line="360" w:lineRule="auto"/>
        <w:ind w:firstLine="420" w:firstLineChars="200"/>
        <w:rPr>
          <w:rFonts w:hint="eastAsia" w:ascii="宋体" w:hAnsi="宋体"/>
          <w:bCs/>
          <w:color w:val="000000" w:themeColor="text1"/>
        </w:rPr>
      </w:pPr>
      <w:r>
        <w:rPr>
          <w:rFonts w:hint="eastAsia" w:ascii="宋体" w:hAnsi="宋体" w:cs="Tahoma"/>
          <w:color w:val="000000" w:themeColor="text1"/>
        </w:rPr>
        <w:t>网    址：</w:t>
      </w:r>
      <w:r>
        <w:rPr>
          <w:rFonts w:hint="eastAsia" w:ascii="宋体" w:hAnsi="宋体" w:cs="宋体"/>
          <w:bCs/>
          <w:szCs w:val="21"/>
        </w:rPr>
        <w:t xml:space="preserve"> </w:t>
      </w:r>
      <w:r>
        <w:rPr>
          <w:rFonts w:hint="eastAsia" w:ascii="宋体" w:hAnsi="宋体" w:cs="宋体"/>
          <w:bCs/>
          <w:szCs w:val="21"/>
          <w:lang w:eastAsia="zh-CN"/>
        </w:rPr>
        <w:t>http://193.112.135.29:8080/或http://www.tyzhaobiao.cn</w:t>
      </w:r>
      <w:r>
        <w:rPr>
          <w:rFonts w:hint="eastAsia" w:ascii="宋体" w:hAnsi="宋体"/>
          <w:bCs/>
          <w:color w:val="000000" w:themeColor="text1"/>
        </w:rPr>
        <w:t xml:space="preserve">    </w:t>
      </w:r>
    </w:p>
    <w:p>
      <w:pPr>
        <w:tabs>
          <w:tab w:val="left" w:pos="4680"/>
        </w:tabs>
        <w:adjustRightInd w:val="0"/>
        <w:snapToGrid w:val="0"/>
        <w:spacing w:line="360" w:lineRule="auto"/>
        <w:ind w:firstLine="420" w:firstLineChars="200"/>
        <w:rPr>
          <w:rFonts w:ascii="宋体" w:hAnsi="宋体"/>
          <w:bCs/>
          <w:color w:val="000000" w:themeColor="text1"/>
        </w:rPr>
      </w:pPr>
      <w:r>
        <w:rPr>
          <w:rFonts w:hint="eastAsia" w:ascii="宋体" w:hAnsi="宋体"/>
          <w:bCs/>
          <w:color w:val="000000" w:themeColor="text1"/>
        </w:rPr>
        <w:t xml:space="preserve">  </w:t>
      </w:r>
      <w:r>
        <w:rPr>
          <w:rFonts w:hint="eastAsia" w:ascii="宋体" w:hAnsi="宋体"/>
          <w:bCs/>
          <w:color w:val="000000" w:themeColor="text1"/>
          <w:lang w:val="en-US" w:eastAsia="zh-CN"/>
        </w:rPr>
        <w:t xml:space="preserve">         </w:t>
      </w:r>
      <w:r>
        <w:rPr>
          <w:rFonts w:hint="eastAsia" w:ascii="宋体" w:hAnsi="宋体"/>
          <w:bCs/>
          <w:color w:val="000000" w:themeColor="text1"/>
        </w:rPr>
        <w:t xml:space="preserve">招标采购导航网（https://www.okcis.cn/）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rPr>
      </w:pPr>
      <w:r>
        <w:rPr>
          <w:rFonts w:hint="eastAsia" w:ascii="宋体" w:hAnsi="宋体"/>
          <w:bCs/>
          <w:color w:val="000000" w:themeColor="text1"/>
        </w:rPr>
        <w:t xml:space="preserve">                                               阳江市投源招标采购有限公司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lang w:eastAsia="zh-CN"/>
        </w:rPr>
      </w:pPr>
      <w:r>
        <w:rPr>
          <w:rFonts w:hint="eastAsia" w:ascii="宋体" w:hAnsi="宋体"/>
          <w:bCs/>
          <w:color w:val="000000" w:themeColor="text1"/>
        </w:rPr>
        <w:t xml:space="preserve">                                                         </w:t>
      </w:r>
      <w:bookmarkStart w:id="38" w:name="_Toc333237724"/>
      <w:bookmarkStart w:id="39" w:name="_Toc339362258"/>
      <w:bookmarkStart w:id="40" w:name="_Toc333935279"/>
      <w:bookmarkStart w:id="41" w:name="_Toc339020187"/>
      <w:bookmarkStart w:id="42" w:name="_Toc339019829"/>
      <w:bookmarkStart w:id="43" w:name="_Toc350438703"/>
      <w:bookmarkStart w:id="44" w:name="_Toc333935620"/>
      <w:bookmarkStart w:id="45" w:name="_Toc340507404"/>
      <w:bookmarkStart w:id="46" w:name="_Toc365967003"/>
      <w:bookmarkStart w:id="47" w:name="_Toc349143547"/>
      <w:bookmarkStart w:id="48" w:name="_Toc333237613"/>
      <w:bookmarkStart w:id="49" w:name="_Toc340677032"/>
      <w:bookmarkStart w:id="50" w:name="_Toc331683995"/>
      <w:bookmarkStart w:id="51" w:name="_Toc342060323"/>
      <w:bookmarkStart w:id="52" w:name="_Toc331512857"/>
      <w:bookmarkStart w:id="53" w:name="_Toc332206658"/>
      <w:bookmarkStart w:id="54" w:name="_Toc332270306"/>
      <w:bookmarkStart w:id="55" w:name="_Toc337632316"/>
      <w:bookmarkStart w:id="56" w:name="_Toc336681893"/>
      <w:bookmarkStart w:id="57" w:name="_Toc365985109"/>
      <w:bookmarkStart w:id="58" w:name="_Toc350756404"/>
      <w:bookmarkStart w:id="59" w:name="_Toc341348292"/>
      <w:bookmarkStart w:id="60" w:name="_Toc342296709"/>
      <w:bookmarkStart w:id="61" w:name="_Toc333238572"/>
      <w:bookmarkStart w:id="62" w:name="_Toc330459946"/>
      <w:bookmarkStart w:id="63" w:name="_Toc339019955"/>
      <w:bookmarkStart w:id="64" w:name="_Toc339441045"/>
      <w:bookmarkStart w:id="65" w:name="_Toc366072458"/>
      <w:bookmarkStart w:id="66" w:name="_Toc345513763"/>
      <w:bookmarkStart w:id="67" w:name="_Toc336681538"/>
      <w:bookmarkStart w:id="68" w:name="_Toc349127584"/>
      <w:bookmarkStart w:id="69" w:name="_Toc339020049"/>
      <w:bookmarkStart w:id="70" w:name="_Toc340672831"/>
      <w:r>
        <w:rPr>
          <w:rFonts w:hint="eastAsia" w:ascii="宋体" w:hAnsi="宋体"/>
          <w:bCs/>
          <w:color w:val="000000" w:themeColor="text1"/>
          <w:lang w:eastAsia="zh-CN"/>
        </w:rPr>
        <w:t>2025年9月25日</w:t>
      </w:r>
    </w:p>
    <w:p>
      <w:pPr>
        <w:pStyle w:val="4"/>
        <w:numPr>
          <w:ilvl w:val="0"/>
          <w:numId w:val="0"/>
        </w:numPr>
        <w:spacing w:beforeLines="0" w:afterLines="50" w:line="390" w:lineRule="exact"/>
        <w:ind w:left="105" w:leftChars="50" w:firstLine="482" w:firstLineChars="200"/>
        <w:rPr>
          <w:rFonts w:ascii="宋体" w:hAnsi="宋体" w:eastAsia="宋体"/>
          <w:b/>
          <w:color w:val="000000" w:themeColor="text1"/>
        </w:rPr>
      </w:pPr>
    </w:p>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4"/>
        <w:numPr>
          <w:ilvl w:val="0"/>
          <w:numId w:val="0"/>
        </w:numPr>
        <w:spacing w:beforeLines="0" w:afterLines="50" w:line="390" w:lineRule="exact"/>
        <w:ind w:left="105" w:leftChars="50" w:firstLine="482" w:firstLineChars="200"/>
        <w:rPr>
          <w:rFonts w:ascii="宋体" w:hAnsi="宋体" w:eastAsia="宋体"/>
          <w:b/>
          <w:color w:val="000000" w:themeColor="text1"/>
        </w:rPr>
      </w:pPr>
    </w:p>
    <w:p>
      <w:pPr>
        <w:pStyle w:val="4"/>
        <w:numPr>
          <w:ilvl w:val="0"/>
          <w:numId w:val="0"/>
        </w:numPr>
        <w:spacing w:beforeLines="0" w:afterLines="50" w:line="390" w:lineRule="exact"/>
        <w:ind w:left="105" w:leftChars="50" w:firstLine="482" w:firstLineChars="200"/>
        <w:rPr>
          <w:rFonts w:ascii="宋体" w:hAnsi="宋体" w:eastAsia="宋体"/>
          <w:b/>
          <w:color w:val="000000" w:themeColor="text1"/>
        </w:rPr>
      </w:pPr>
    </w:p>
    <w:p>
      <w:pPr>
        <w:rPr>
          <w:rFonts w:ascii="宋体" w:hAnsi="宋体"/>
          <w:b/>
          <w:color w:val="000000" w:themeColor="text1"/>
        </w:rPr>
      </w:pPr>
    </w:p>
    <w:p>
      <w:pPr>
        <w:pStyle w:val="4"/>
        <w:numPr>
          <w:ilvl w:val="0"/>
          <w:numId w:val="0"/>
        </w:numPr>
        <w:spacing w:beforeLines="0" w:afterLines="50" w:line="390" w:lineRule="exact"/>
        <w:jc w:val="both"/>
        <w:rPr>
          <w:rFonts w:ascii="Times New Roman" w:eastAsia="宋体"/>
          <w:bCs w:val="0"/>
          <w:kern w:val="2"/>
          <w:sz w:val="20"/>
        </w:rPr>
      </w:pPr>
    </w:p>
    <w:p>
      <w:pPr>
        <w:rPr>
          <w:rFonts w:ascii="Times New Roman" w:eastAsia="宋体"/>
          <w:bCs w:val="0"/>
          <w:kern w:val="2"/>
          <w:sz w:val="20"/>
        </w:rPr>
      </w:pPr>
    </w:p>
    <w:p>
      <w:pPr>
        <w:pStyle w:val="2"/>
        <w:numPr>
          <w:ilvl w:val="0"/>
          <w:numId w:val="0"/>
        </w:numPr>
        <w:ind w:leftChars="0"/>
      </w:pPr>
    </w:p>
    <w:p>
      <w:pPr>
        <w:pStyle w:val="3"/>
      </w:pPr>
    </w:p>
    <w:p/>
    <w:p>
      <w:pPr>
        <w:pStyle w:val="4"/>
        <w:numPr>
          <w:ilvl w:val="0"/>
          <w:numId w:val="0"/>
        </w:numPr>
        <w:spacing w:beforeLines="0" w:afterLines="50" w:line="390" w:lineRule="exact"/>
        <w:ind w:left="105" w:leftChars="50" w:firstLine="482" w:firstLineChars="200"/>
        <w:rPr>
          <w:rFonts w:ascii="宋体" w:hAnsi="宋体" w:eastAsia="宋体"/>
          <w:b/>
          <w:color w:val="000000" w:themeColor="text1"/>
        </w:rPr>
      </w:pPr>
      <w:bookmarkStart w:id="71" w:name="_Toc83905539"/>
      <w:r>
        <w:rPr>
          <w:rFonts w:hint="eastAsia" w:ascii="宋体" w:hAnsi="宋体" w:eastAsia="宋体"/>
          <w:b/>
          <w:color w:val="000000" w:themeColor="text1"/>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2" w:name="_Hlt23321722"/>
      <w:bookmarkEnd w:id="72"/>
      <w:bookmarkStart w:id="73" w:name="_Toc333935280"/>
      <w:bookmarkStart w:id="74" w:name="_Toc333237614"/>
      <w:bookmarkStart w:id="75" w:name="_Toc333935621"/>
      <w:bookmarkStart w:id="76" w:name="_Toc333237725"/>
      <w:bookmarkStart w:id="77" w:name="_Toc75570886"/>
      <w:bookmarkStart w:id="78" w:name="_Toc333238573"/>
      <w:bookmarkStart w:id="79" w:name="_Toc330459949"/>
      <w:r>
        <w:rPr>
          <w:rFonts w:hint="eastAsia" w:ascii="宋体" w:hAnsi="宋体" w:eastAsia="宋体"/>
          <w:b/>
          <w:color w:val="000000" w:themeColor="text1"/>
        </w:rPr>
        <w:t>采购需求书</w:t>
      </w:r>
      <w:bookmarkEnd w:id="71"/>
    </w:p>
    <w:bookmarkEnd w:id="73"/>
    <w:bookmarkEnd w:id="74"/>
    <w:bookmarkEnd w:id="75"/>
    <w:bookmarkEnd w:id="76"/>
    <w:bookmarkEnd w:id="77"/>
    <w:bookmarkEnd w:id="78"/>
    <w:bookmarkEnd w:id="79"/>
    <w:p>
      <w:pPr>
        <w:widowControl/>
        <w:jc w:val="left"/>
      </w:pPr>
      <w:bookmarkStart w:id="80" w:name="_Toc333237755"/>
      <w:bookmarkStart w:id="81" w:name="_Toc350756417"/>
      <w:bookmarkStart w:id="82" w:name="_Toc349143556"/>
      <w:bookmarkStart w:id="83" w:name="_Toc333935313"/>
      <w:bookmarkStart w:id="84" w:name="_Toc349127593"/>
      <w:bookmarkStart w:id="85" w:name="_Toc331512865"/>
      <w:bookmarkStart w:id="86" w:name="_Toc340677037"/>
      <w:bookmarkStart w:id="87" w:name="_Toc333238600"/>
      <w:bookmarkStart w:id="88" w:name="_Toc339019982"/>
      <w:bookmarkStart w:id="89" w:name="_Toc345513834"/>
      <w:bookmarkStart w:id="90" w:name="_Toc340672836"/>
      <w:bookmarkStart w:id="91" w:name="_Toc341348305"/>
      <w:bookmarkStart w:id="92" w:name="_Toc339362267"/>
      <w:bookmarkStart w:id="93" w:name="_Toc332270313"/>
      <w:bookmarkStart w:id="94" w:name="_Toc365985146"/>
      <w:bookmarkStart w:id="95" w:name="_Toc330459952"/>
      <w:bookmarkStart w:id="96" w:name="_Toc337632325"/>
      <w:bookmarkStart w:id="97" w:name="_Toc339441054"/>
      <w:bookmarkStart w:id="98" w:name="_Toc350438716"/>
      <w:bookmarkStart w:id="99" w:name="_Toc342296727"/>
      <w:bookmarkStart w:id="100" w:name="_Toc339019856"/>
      <w:bookmarkStart w:id="101" w:name="_Toc336681547"/>
      <w:bookmarkStart w:id="102" w:name="_Toc331684005"/>
      <w:bookmarkStart w:id="103" w:name="_Toc366072495"/>
      <w:bookmarkStart w:id="104" w:name="_Toc333237644"/>
      <w:bookmarkStart w:id="105" w:name="_Toc340507409"/>
      <w:bookmarkStart w:id="106" w:name="_Toc339020062"/>
      <w:bookmarkStart w:id="107" w:name="_Toc336681902"/>
      <w:bookmarkStart w:id="108" w:name="_Toc342060341"/>
      <w:bookmarkStart w:id="109" w:name="_Toc339020200"/>
      <w:bookmarkStart w:id="110" w:name="_Toc365967040"/>
      <w:bookmarkStart w:id="111" w:name="_Toc332206675"/>
      <w:bookmarkStart w:id="112" w:name="_Toc333935654"/>
      <w:r>
        <w:rPr>
          <w:rFonts w:hint="eastAsia" w:ascii="宋体" w:hAnsi="宋体" w:cs="宋体"/>
          <w:b/>
          <w:bCs/>
          <w:color w:val="000000"/>
          <w:kern w:val="0"/>
          <w:szCs w:val="21"/>
        </w:rPr>
        <w:t xml:space="preserve">说明： </w:t>
      </w:r>
    </w:p>
    <w:p>
      <w:pPr>
        <w:widowControl/>
        <w:ind w:left="316" w:hanging="316" w:hangingChars="150"/>
        <w:jc w:val="left"/>
      </w:pPr>
      <w:r>
        <w:rPr>
          <w:rFonts w:hint="eastAsia" w:ascii="宋体" w:hAnsi="宋体" w:cs="宋体"/>
          <w:b/>
          <w:bCs/>
          <w:color w:val="000000"/>
          <w:kern w:val="0"/>
          <w:szCs w:val="21"/>
        </w:rPr>
        <w:t xml:space="preserve">1. 投标人须对以本项目为单位的货物及服务进行整体投标，任何只对本项目其中一部分内容进行的投标都被视为无效投标。 </w:t>
      </w:r>
    </w:p>
    <w:p>
      <w:pPr>
        <w:widowControl/>
        <w:ind w:left="316" w:hanging="316" w:hangingChars="150"/>
        <w:jc w:val="left"/>
      </w:pPr>
      <w:r>
        <w:rPr>
          <w:rFonts w:hint="eastAsia" w:ascii="宋体" w:hAnsi="宋体" w:cs="宋体"/>
          <w:b/>
          <w:bCs/>
          <w:color w:val="000000"/>
          <w:kern w:val="0"/>
          <w:szCs w:val="21"/>
        </w:rPr>
        <w:t xml:space="preserve">2. 招标文件中如有打“★”号条款为实质性条款，投标人若有任何一条负偏离或不满足则导致投标无效。 </w:t>
      </w:r>
    </w:p>
    <w:p>
      <w:pPr>
        <w:widowControl/>
        <w:ind w:left="316" w:hanging="316" w:hangingChars="150"/>
        <w:jc w:val="left"/>
      </w:pPr>
      <w:r>
        <w:rPr>
          <w:rFonts w:hint="eastAsia" w:ascii="宋体" w:hAnsi="宋体" w:cs="宋体"/>
          <w:b/>
          <w:bCs/>
          <w:color w:val="000000"/>
          <w:kern w:val="0"/>
          <w:szCs w:val="21"/>
        </w:rPr>
        <w:t xml:space="preserve">3. 招标文件中如有打“▲”号条款为重要技术参数，投标人若有部分“▲”条款未响应或不满足，将导致其响应性评审加重扣分，但不作为无效投标条款。 </w:t>
      </w:r>
    </w:p>
    <w:p>
      <w:pPr>
        <w:pStyle w:val="5"/>
        <w:numPr>
          <w:ilvl w:val="1"/>
          <w:numId w:val="0"/>
        </w:numPr>
        <w:spacing w:beforeLines="150" w:after="0" w:line="360" w:lineRule="auto"/>
        <w:rPr>
          <w:rFonts w:ascii="宋体" w:hAnsi="宋体"/>
          <w:color w:val="000000" w:themeColor="text1"/>
          <w:kern w:val="0"/>
          <w:sz w:val="24"/>
        </w:rPr>
      </w:pPr>
      <w:bookmarkStart w:id="113" w:name="_Toc83905540"/>
      <w:r>
        <w:rPr>
          <w:rFonts w:ascii="宋体" w:hAnsi="宋体"/>
          <w:color w:val="000000" w:themeColor="text1"/>
          <w:kern w:val="0"/>
          <w:sz w:val="24"/>
        </w:rPr>
        <w:t xml:space="preserve">A  </w:t>
      </w:r>
      <w:r>
        <w:rPr>
          <w:rFonts w:hint="eastAsia" w:ascii="宋体" w:hAnsi="宋体"/>
          <w:color w:val="000000" w:themeColor="text1"/>
          <w:kern w:val="0"/>
          <w:sz w:val="24"/>
        </w:rPr>
        <w:t>商务要求</w:t>
      </w:r>
      <w:bookmarkEnd w:id="113"/>
    </w:p>
    <w:p>
      <w:pPr>
        <w:numPr>
          <w:ilvl w:val="0"/>
          <w:numId w:val="22"/>
        </w:numPr>
        <w:adjustRightInd w:val="0"/>
        <w:snapToGrid w:val="0"/>
        <w:spacing w:line="360" w:lineRule="auto"/>
        <w:ind w:left="420" w:hanging="420"/>
        <w:rPr>
          <w:rFonts w:ascii="宋体" w:hAnsi="宋体"/>
          <w:b/>
          <w:color w:val="000000"/>
          <w:szCs w:val="21"/>
        </w:rPr>
      </w:pPr>
      <w:r>
        <w:rPr>
          <w:rFonts w:hint="eastAsia" w:ascii="宋体" w:hAnsi="宋体"/>
          <w:b/>
          <w:color w:val="000000"/>
          <w:szCs w:val="21"/>
        </w:rPr>
        <w:t>投标人投标资格要求为：</w:t>
      </w:r>
    </w:p>
    <w:p>
      <w:pPr>
        <w:spacing w:line="360" w:lineRule="auto"/>
        <w:ind w:firstLine="210" w:firstLineChars="100"/>
        <w:rPr>
          <w:rFonts w:ascii="宋体" w:hAnsi="宋体"/>
          <w:color w:val="000000" w:themeColor="text1"/>
        </w:rPr>
      </w:pPr>
      <w:r>
        <w:rPr>
          <w:rFonts w:ascii="宋体" w:hAnsi="宋体"/>
          <w:color w:val="000000" w:themeColor="text1"/>
        </w:rPr>
        <w:t>1.投标人应具备《中华人民共和国政府采购法》第二十二条规定的条件</w:t>
      </w:r>
      <w:r>
        <w:rPr>
          <w:rFonts w:hint="eastAsia" w:ascii="宋体" w:hAnsi="宋体"/>
          <w:color w:val="000000" w:themeColor="text1"/>
        </w:rPr>
        <w:t>：</w:t>
      </w:r>
    </w:p>
    <w:p>
      <w:pPr>
        <w:spacing w:line="360" w:lineRule="auto"/>
        <w:ind w:left="420" w:leftChars="200"/>
        <w:rPr>
          <w:rFonts w:ascii="宋体" w:hAnsi="宋体"/>
          <w:color w:val="000000" w:themeColor="text1"/>
          <w:szCs w:val="21"/>
        </w:rPr>
      </w:pPr>
      <w:r>
        <w:rPr>
          <w:rFonts w:ascii="宋体" w:hAnsi="宋体"/>
          <w:color w:val="000000" w:themeColor="text1"/>
        </w:rPr>
        <w:t>1）具有独立承担民事责任的能力；</w:t>
      </w:r>
      <w:r>
        <w:rPr>
          <w:rFonts w:ascii="宋体" w:hAnsi="宋体"/>
          <w:color w:val="000000" w:themeColor="text1"/>
        </w:rPr>
        <w:br w:type="textWrapping"/>
      </w:r>
      <w:r>
        <w:rPr>
          <w:rFonts w:ascii="宋体" w:hAnsi="宋体"/>
          <w:color w:val="000000" w:themeColor="text1"/>
        </w:rPr>
        <w:t>2）具有良好的商业信誉和健全的财务会计制度；</w:t>
      </w:r>
      <w:r>
        <w:rPr>
          <w:rFonts w:ascii="宋体" w:hAnsi="宋体"/>
          <w:color w:val="000000" w:themeColor="text1"/>
        </w:rPr>
        <w:br w:type="textWrapping"/>
      </w:r>
      <w:r>
        <w:rPr>
          <w:rFonts w:ascii="宋体" w:hAnsi="宋体"/>
          <w:color w:val="000000" w:themeColor="text1"/>
        </w:rPr>
        <w:t>3）具有履行合同所必需的设备和专业技术能力；</w:t>
      </w:r>
      <w:r>
        <w:rPr>
          <w:rFonts w:ascii="宋体" w:hAnsi="宋体"/>
          <w:color w:val="000000" w:themeColor="text1"/>
        </w:rPr>
        <w:br w:type="textWrapping"/>
      </w:r>
      <w:r>
        <w:rPr>
          <w:rFonts w:ascii="宋体" w:hAnsi="宋体"/>
          <w:color w:val="000000" w:themeColor="text1"/>
          <w:szCs w:val="21"/>
        </w:rPr>
        <w:t>4）有依法缴纳税收和社会保障资金的良好记录；</w:t>
      </w:r>
      <w:r>
        <w:rPr>
          <w:rFonts w:ascii="宋体" w:hAnsi="宋体"/>
          <w:color w:val="000000" w:themeColor="text1"/>
          <w:szCs w:val="21"/>
        </w:rPr>
        <w:br w:type="textWrapping"/>
      </w:r>
      <w:r>
        <w:rPr>
          <w:rFonts w:ascii="宋体" w:hAnsi="宋体"/>
          <w:color w:val="000000" w:themeColor="text1"/>
          <w:szCs w:val="21"/>
        </w:rPr>
        <w:t>5）参加政府采购活动前三年内，在经营活动中没有重大违法记录；</w:t>
      </w:r>
      <w:r>
        <w:rPr>
          <w:rFonts w:ascii="宋体" w:hAnsi="宋体"/>
          <w:color w:val="000000" w:themeColor="text1"/>
          <w:szCs w:val="21"/>
        </w:rPr>
        <w:br w:type="textWrapping"/>
      </w:r>
      <w:r>
        <w:rPr>
          <w:rFonts w:ascii="宋体" w:hAnsi="宋体"/>
          <w:color w:val="000000" w:themeColor="text1"/>
          <w:szCs w:val="21"/>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rPr>
      </w:pPr>
      <w:r>
        <w:rPr>
          <w:rFonts w:hint="eastAsia" w:ascii="宋体" w:hAnsi="宋体"/>
          <w:color w:val="000000" w:themeColor="text1"/>
          <w:szCs w:val="21"/>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rPr>
      </w:pPr>
      <w:r>
        <w:rPr>
          <w:rFonts w:hint="eastAsia" w:ascii="宋体" w:hAnsi="宋体"/>
          <w:color w:val="000000" w:themeColor="text1"/>
          <w:szCs w:val="21"/>
        </w:rPr>
        <w:t>3.单位负责人</w:t>
      </w:r>
      <w:r>
        <w:rPr>
          <w:rFonts w:hint="eastAsia" w:ascii="宋体" w:hAnsi="宋体" w:eastAsia="宋体" w:cs="Times New Roman"/>
          <w:color w:val="000000" w:themeColor="text1"/>
          <w:kern w:val="2"/>
          <w:sz w:val="21"/>
          <w:szCs w:val="21"/>
          <w:lang w:val="en-US" w:eastAsia="zh-CN" w:bidi="ar-SA"/>
        </w:rPr>
        <w:t>为同一人或者存在</w:t>
      </w:r>
      <w:r>
        <w:rPr>
          <w:rFonts w:hint="eastAsia" w:ascii="宋体" w:hAnsi="宋体"/>
          <w:color w:val="000000" w:themeColor="text1"/>
          <w:szCs w:val="21"/>
        </w:rPr>
        <w:t>直接控股、管理关系的不同供应商，不得参加同一合同项</w:t>
      </w:r>
    </w:p>
    <w:p>
      <w:pPr>
        <w:spacing w:line="360" w:lineRule="auto"/>
        <w:ind w:left="525" w:leftChars="200" w:hanging="105" w:hangingChars="50"/>
        <w:rPr>
          <w:rFonts w:ascii="宋体" w:hAnsi="宋体"/>
          <w:color w:val="000000" w:themeColor="text1"/>
          <w:szCs w:val="21"/>
        </w:rPr>
      </w:pPr>
      <w:r>
        <w:rPr>
          <w:rFonts w:hint="eastAsia" w:ascii="宋体" w:hAnsi="宋体"/>
          <w:color w:val="000000" w:themeColor="text1"/>
          <w:szCs w:val="21"/>
        </w:rPr>
        <w:t>下的政府采购活动；</w:t>
      </w:r>
    </w:p>
    <w:p>
      <w:pPr>
        <w:spacing w:line="360" w:lineRule="auto"/>
        <w:ind w:left="420" w:leftChars="100" w:hanging="210" w:hangingChars="100"/>
        <w:rPr>
          <w:rFonts w:hAnsi="宋体" w:cs="宋体"/>
          <w:color w:val="000000" w:themeColor="text1"/>
          <w:szCs w:val="21"/>
        </w:rPr>
      </w:pPr>
      <w:r>
        <w:rPr>
          <w:rFonts w:hint="eastAsia" w:ascii="宋体" w:hAnsi="宋体"/>
          <w:color w:val="000000" w:themeColor="text1"/>
          <w:szCs w:val="21"/>
        </w:rPr>
        <w:t>4.为采购项目提供整体设计、规范编制或者项目管理、监理、检测等服务的投标人，不得再参加该采购项目（包组）的其他采购活动</w:t>
      </w:r>
      <w:r>
        <w:rPr>
          <w:rFonts w:hint="eastAsia" w:hAnsi="宋体" w:cs="宋体"/>
          <w:color w:val="000000" w:themeColor="text1"/>
          <w:szCs w:val="21"/>
        </w:rPr>
        <w:t>；</w:t>
      </w:r>
    </w:p>
    <w:p>
      <w:pPr>
        <w:spacing w:line="360" w:lineRule="auto"/>
        <w:ind w:left="420" w:leftChars="100" w:hanging="210" w:hangingChars="100"/>
        <w:rPr>
          <w:rFonts w:ascii="宋体" w:hAnsi="宋体"/>
          <w:color w:val="000000" w:themeColor="text1"/>
          <w:szCs w:val="21"/>
        </w:rPr>
      </w:pPr>
      <w:r>
        <w:rPr>
          <w:rFonts w:hint="eastAsia" w:ascii="宋体" w:hAnsi="宋体"/>
          <w:color w:val="000000" w:themeColor="text1"/>
          <w:szCs w:val="21"/>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ascii="宋体" w:hAnsi="宋体"/>
          <w:color w:val="000000" w:themeColor="text1"/>
          <w:szCs w:val="21"/>
        </w:rPr>
      </w:pPr>
      <w:r>
        <w:rPr>
          <w:rFonts w:hint="eastAsia" w:ascii="宋体" w:hAnsi="宋体"/>
          <w:color w:val="000000" w:themeColor="text1"/>
          <w:szCs w:val="21"/>
        </w:rPr>
        <w:t>6.投标人未被列入“信用中国”网站(</w:t>
      </w:r>
      <w:r>
        <w:fldChar w:fldCharType="begin"/>
      </w:r>
      <w:r>
        <w:instrText xml:space="preserve"> HYPERLINK "http://www.creditchina.gov.cn)" </w:instrText>
      </w:r>
      <w:r>
        <w:fldChar w:fldCharType="separate"/>
      </w:r>
      <w:r>
        <w:rPr>
          <w:rFonts w:hint="eastAsia"/>
          <w:color w:val="000000" w:themeColor="text1"/>
        </w:rPr>
        <w:t>www.creditchina.gov.cn)“记录失信被执行人或重大</w:t>
      </w:r>
      <w:r>
        <w:rPr>
          <w:rFonts w:hint="eastAsia"/>
          <w:color w:val="000000" w:themeColor="text1"/>
        </w:rPr>
        <w:fldChar w:fldCharType="end"/>
      </w:r>
      <w:r>
        <w:rPr>
          <w:rFonts w:hint="eastAsia" w:ascii="宋体" w:hAnsi="宋体"/>
          <w:color w:val="000000" w:themeColor="text1"/>
          <w:szCs w:val="21"/>
        </w:rPr>
        <w:t xml:space="preserve">税收违法案件当事人名单或政府采购严重违法失信行为”记录名单。同时，不处于中国政府采购网(www.ccgp.gov.cn)“政府采购严重违法失信行为信息记录”中的禁止参加政府采购活动期间。 </w:t>
      </w:r>
    </w:p>
    <w:p>
      <w:pPr>
        <w:pStyle w:val="2"/>
        <w:numPr>
          <w:ilvl w:val="0"/>
          <w:numId w:val="0"/>
        </w:numPr>
        <w:ind w:firstLine="210" w:firstLineChars="1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7.投标人须具有《医疗器械生产许可证》、《医疗器械经营许可证》。</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lang w:val="en-US" w:eastAsia="zh-CN"/>
        </w:rPr>
        <w:t>8</w:t>
      </w:r>
      <w:r>
        <w:rPr>
          <w:rFonts w:hint="eastAsia" w:ascii="宋体" w:hAnsi="宋体"/>
          <w:color w:val="000000" w:themeColor="text1"/>
          <w:szCs w:val="21"/>
        </w:rPr>
        <w:t>.本项目不接受联合体投标。</w:t>
      </w:r>
    </w:p>
    <w:p>
      <w:pPr>
        <w:numPr>
          <w:ilvl w:val="0"/>
          <w:numId w:val="22"/>
        </w:numPr>
        <w:adjustRightInd w:val="0"/>
        <w:snapToGrid w:val="0"/>
        <w:spacing w:line="360" w:lineRule="auto"/>
        <w:ind w:left="420" w:hanging="420"/>
        <w:rPr>
          <w:rFonts w:hint="eastAsia" w:ascii="宋体" w:hAnsi="宋体" w:eastAsia="宋体" w:cs="Times New Roman"/>
          <w:b/>
          <w:color w:val="000000"/>
          <w:szCs w:val="21"/>
        </w:rPr>
      </w:pPr>
      <w:r>
        <w:rPr>
          <w:rFonts w:hint="eastAsia" w:ascii="宋体" w:hAnsi="宋体" w:eastAsia="宋体" w:cs="Times New Roman"/>
          <w:b/>
          <w:color w:val="000000"/>
          <w:szCs w:val="21"/>
        </w:rPr>
        <w:t>投标报价：</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1.项目名称：阳江市妇幼保健院一期特殊科室（手术室、NICU、产房、检验科PCR实验室、妇科门诊手术室）洁净区域维保服务采购项目。</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2.项目服务期限：12个月。</w:t>
      </w:r>
    </w:p>
    <w:p>
      <w:pPr>
        <w:pStyle w:val="3"/>
        <w:spacing w:line="360" w:lineRule="auto"/>
        <w:ind w:firstLine="420" w:firstLineChars="200"/>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3.项目总预算金额：38.25万元。其中，本院现二期建设新产房，待一期产房功能转移到二期新产房之日起，本项目的产房维保服务停止，每季度的维保费需减少支付27625元。</w:t>
      </w:r>
    </w:p>
    <w:p>
      <w:pPr>
        <w:adjustRightInd w:val="0"/>
        <w:snapToGrid w:val="0"/>
        <w:spacing w:line="360" w:lineRule="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b/>
          <w:color w:val="000000"/>
          <w:szCs w:val="21"/>
        </w:rPr>
        <w:t>三、合同签订要求</w:t>
      </w:r>
      <w:r>
        <w:rPr>
          <w:rFonts w:hint="eastAsia" w:ascii="宋体" w:hAnsi="宋体" w:cs="宋体"/>
          <w:color w:val="000000"/>
          <w:sz w:val="24"/>
          <w:szCs w:val="24"/>
        </w:rPr>
        <w:t>：</w:t>
      </w:r>
      <w:r>
        <w:rPr>
          <w:rFonts w:hint="eastAsia" w:ascii="宋体" w:hAnsi="宋体" w:eastAsia="宋体" w:cs="Times New Roman"/>
          <w:color w:val="000000" w:themeColor="text1"/>
          <w:kern w:val="2"/>
          <w:sz w:val="21"/>
          <w:szCs w:val="21"/>
          <w:lang w:val="en-US" w:eastAsia="zh-CN" w:bidi="ar-SA"/>
        </w:rPr>
        <w:t>采购合同由中标人与采购人双方签订，签订时间为《中标通知书》发出之日起30个日历天内。</w:t>
      </w:r>
    </w:p>
    <w:p>
      <w:pPr>
        <w:adjustRightInd w:val="0"/>
        <w:snapToGrid w:val="0"/>
        <w:spacing w:line="360" w:lineRule="auto"/>
        <w:rPr>
          <w:rFonts w:ascii="宋体" w:hAnsi="宋体" w:cs="宋体"/>
          <w:bCs/>
          <w:color w:val="000000"/>
          <w:sz w:val="24"/>
          <w:szCs w:val="24"/>
        </w:rPr>
      </w:pPr>
      <w:r>
        <w:rPr>
          <w:rFonts w:hint="eastAsia" w:ascii="宋体" w:hAnsi="宋体" w:eastAsia="宋体" w:cs="Times New Roman"/>
          <w:b/>
          <w:color w:val="000000"/>
          <w:szCs w:val="21"/>
        </w:rPr>
        <w:t>四、服务期</w:t>
      </w:r>
      <w:r>
        <w:rPr>
          <w:rFonts w:hint="eastAsia" w:ascii="宋体" w:hAnsi="宋体" w:cs="宋体"/>
          <w:b/>
          <w:color w:val="000000"/>
          <w:sz w:val="24"/>
          <w:szCs w:val="24"/>
        </w:rPr>
        <w:t>：</w:t>
      </w:r>
      <w:r>
        <w:rPr>
          <w:rFonts w:hint="eastAsia" w:ascii="宋体" w:hAnsi="宋体" w:eastAsia="宋体" w:cs="Times New Roman"/>
          <w:color w:val="000000" w:themeColor="text1"/>
          <w:kern w:val="2"/>
          <w:sz w:val="21"/>
          <w:szCs w:val="21"/>
          <w:lang w:val="en-US" w:eastAsia="zh-CN" w:bidi="ar-SA"/>
        </w:rPr>
        <w:t>12个月。</w:t>
      </w:r>
    </w:p>
    <w:p>
      <w:pPr>
        <w:adjustRightInd w:val="0"/>
        <w:snapToGrid w:val="0"/>
        <w:spacing w:line="360" w:lineRule="auto"/>
        <w:rPr>
          <w:rFonts w:hint="eastAsia" w:ascii="宋体" w:hAnsi="宋体" w:cs="宋体"/>
          <w:bCs/>
          <w:color w:val="000000"/>
          <w:sz w:val="24"/>
          <w:szCs w:val="24"/>
        </w:rPr>
      </w:pPr>
      <w:r>
        <w:rPr>
          <w:rFonts w:hint="eastAsia" w:ascii="宋体" w:hAnsi="宋体" w:eastAsia="宋体" w:cs="Times New Roman"/>
          <w:b/>
          <w:color w:val="000000"/>
          <w:szCs w:val="21"/>
        </w:rPr>
        <w:t>五、服务地点</w:t>
      </w:r>
      <w:r>
        <w:rPr>
          <w:rFonts w:hint="eastAsia" w:ascii="宋体" w:hAnsi="宋体" w:cs="宋体"/>
          <w:b/>
          <w:color w:val="000000"/>
          <w:sz w:val="24"/>
          <w:szCs w:val="24"/>
        </w:rPr>
        <w:t>：</w:t>
      </w:r>
      <w:r>
        <w:rPr>
          <w:rFonts w:hint="eastAsia" w:ascii="宋体" w:hAnsi="宋体" w:eastAsia="宋体" w:cs="Times New Roman"/>
          <w:color w:val="000000" w:themeColor="text1"/>
          <w:kern w:val="2"/>
          <w:sz w:val="21"/>
          <w:szCs w:val="21"/>
          <w:lang w:val="en-US" w:eastAsia="zh-CN" w:bidi="ar-SA"/>
        </w:rPr>
        <w:t>阳江市妇幼保健院。</w:t>
      </w:r>
    </w:p>
    <w:p>
      <w:pPr>
        <w:pStyle w:val="3"/>
        <w:spacing w:line="360" w:lineRule="auto"/>
        <w:rPr>
          <w:rFonts w:hint="eastAsia" w:ascii="宋体" w:hAnsi="宋体" w:cs="宋体"/>
          <w:b/>
          <w:bCs w:val="0"/>
          <w:color w:val="000000"/>
          <w:sz w:val="24"/>
          <w:szCs w:val="24"/>
          <w:lang w:val="en-US" w:eastAsia="zh-CN"/>
        </w:rPr>
      </w:pPr>
      <w:r>
        <w:rPr>
          <w:rFonts w:hint="eastAsia" w:ascii="宋体" w:hAnsi="宋体" w:eastAsia="宋体" w:cs="Times New Roman"/>
          <w:b/>
          <w:color w:val="000000"/>
          <w:kern w:val="2"/>
          <w:sz w:val="21"/>
          <w:szCs w:val="21"/>
          <w:lang w:val="en-US" w:eastAsia="zh-CN" w:bidi="ar-SA"/>
        </w:rPr>
        <w:t>六、维保服务内容</w:t>
      </w:r>
      <w:r>
        <w:rPr>
          <w:rFonts w:hint="eastAsia" w:ascii="宋体" w:hAnsi="宋体" w:cs="宋体"/>
          <w:b/>
          <w:bCs w:val="0"/>
          <w:color w:val="000000"/>
          <w:sz w:val="24"/>
          <w:szCs w:val="24"/>
          <w:lang w:val="en-US" w:eastAsia="zh-CN"/>
        </w:rPr>
        <w:t>：</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1.包括特殊科室洁净区域内的所有建筑设施、配套设备（不包括本院购置的医疗设备维护和不间断电源电池的更换）的故障处理和日常维护。</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2.包括特殊科室洁净区域内的洁净净化机组过滤器更换。</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3.包括正压洁净空气系统机组的空气滤芯、油气分离器、精密过滤芯更换。</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七、报价要求：</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 xml:space="preserve">1.包括特殊科室洁净区域内的所有建筑设施、设备（不包括医疗设备维护和不间断电源电池的更换）的故障处理和日常维护人工材料费、税费等一切费用。      </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2.包括更换特殊科室洁净区域内的洁净净化机组过滤器的人工费、材料费、第三方检测费、税费等一切费用。</w:t>
      </w:r>
    </w:p>
    <w:p>
      <w:pPr>
        <w:pStyle w:val="3"/>
        <w:spacing w:line="360" w:lineRule="auto"/>
        <w:ind w:firstLine="420" w:firstLineChars="200"/>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3.包括更换正压洁净空气系统机组的空气滤芯、油气分离器、精密过滤芯的更换人工材料费。</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4.以上内容的总报价不得高于38.25万元。（高于该上限的报价将作为无效报价处理）。</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八、考核评价要求：</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每季度由采购方设备科和特殊科室的各科室护士长，对维保方的维保工作情况进行考核评价，如有一项不合格，每项每次扣维保方500元，年度内如果累计有3次（含3次）不合格，采购方可单方解除合同，并扣除维保方当季度50%服务费。</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九、付款方式和付款时间：</w:t>
      </w:r>
    </w:p>
    <w:p>
      <w:pPr>
        <w:spacing w:line="360" w:lineRule="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 xml:space="preserve">1、付款方式：转账                       </w:t>
      </w:r>
    </w:p>
    <w:p>
      <w:pPr>
        <w:pStyle w:val="3"/>
        <w:widowControl w:val="0"/>
        <w:numPr>
          <w:ilvl w:val="0"/>
          <w:numId w:val="0"/>
        </w:numPr>
        <w:spacing w:line="360" w:lineRule="auto"/>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 xml:space="preserve">2、付款时间：合同签订之日起，年度分四次平均支付合同款，每季度结束后的30个日历天内支付合同总金额25%。                </w:t>
      </w:r>
    </w:p>
    <w:p>
      <w:pPr>
        <w:spacing w:line="360" w:lineRule="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3、乙方需出具正规国家认可的发票。</w:t>
      </w:r>
    </w:p>
    <w:p>
      <w:pPr>
        <w:spacing w:line="360" w:lineRule="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4、遇有经费不足，以实际服务时间标准结算，同时解除合同。</w:t>
      </w: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left="0" w:leftChars="0" w:firstLine="0" w:firstLineChars="0"/>
      </w:pPr>
    </w:p>
    <w:p>
      <w:pPr>
        <w:pStyle w:val="61"/>
        <w:ind w:left="0" w:leftChars="0" w:firstLine="0" w:firstLineChars="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left="0" w:leftChars="0" w:firstLine="0" w:firstLineChars="0"/>
      </w:pPr>
    </w:p>
    <w:p>
      <w:pPr>
        <w:pStyle w:val="61"/>
        <w:ind w:firstLine="0" w:firstLineChars="0"/>
      </w:pPr>
    </w:p>
    <w:p>
      <w:pPr>
        <w:pStyle w:val="5"/>
        <w:numPr>
          <w:ilvl w:val="1"/>
          <w:numId w:val="0"/>
        </w:numPr>
        <w:spacing w:beforeLines="150" w:after="0" w:line="360" w:lineRule="auto"/>
        <w:rPr>
          <w:rFonts w:ascii="宋体" w:hAnsi="宋体"/>
          <w:color w:val="000000" w:themeColor="text1"/>
          <w:kern w:val="0"/>
          <w:sz w:val="24"/>
        </w:rPr>
      </w:pPr>
      <w:bookmarkStart w:id="114" w:name="_Toc83905541"/>
      <w:r>
        <w:rPr>
          <w:rFonts w:hint="eastAsia" w:ascii="宋体" w:hAnsi="宋体"/>
          <w:color w:val="000000" w:themeColor="text1"/>
          <w:kern w:val="0"/>
          <w:sz w:val="24"/>
        </w:rPr>
        <w:t>B  技术要求</w:t>
      </w:r>
      <w:bookmarkEnd w:id="114"/>
    </w:p>
    <w:p>
      <w:pPr>
        <w:spacing w:beforeLines="50" w:line="360" w:lineRule="auto"/>
        <w:ind w:left="932" w:hanging="932" w:hangingChars="442"/>
        <w:rPr>
          <w:rFonts w:ascii="宋体" w:hAnsi="宋体" w:cs="宋体"/>
          <w:b/>
          <w:bCs/>
          <w:szCs w:val="21"/>
        </w:rPr>
      </w:pPr>
      <w:r>
        <w:rPr>
          <w:rFonts w:hint="eastAsia" w:hAnsi="宋体"/>
          <w:b/>
          <w:snapToGrid w:val="0"/>
          <w:color w:val="000000"/>
          <w:szCs w:val="21"/>
        </w:rPr>
        <w:t>注：</w:t>
      </w:r>
      <w:r>
        <w:rPr>
          <w:rFonts w:hint="eastAsia" w:ascii="宋体" w:hAnsi="宋体" w:cs="宋体"/>
          <w:b/>
          <w:bCs/>
          <w:szCs w:val="21"/>
        </w:rPr>
        <w:t>★如投标人报价低于采购项目预算金额80%的,有可能影响</w:t>
      </w:r>
      <w:r>
        <w:rPr>
          <w:rFonts w:hint="eastAsia" w:ascii="宋体" w:hAnsi="宋体" w:cs="宋体"/>
          <w:b/>
          <w:bCs/>
          <w:szCs w:val="21"/>
          <w:lang w:val="en-US" w:eastAsia="zh-CN"/>
        </w:rPr>
        <w:t>维保服务</w:t>
      </w:r>
      <w:r>
        <w:rPr>
          <w:rFonts w:hint="eastAsia" w:ascii="宋体" w:hAnsi="宋体" w:cs="宋体"/>
          <w:b/>
          <w:bCs/>
          <w:szCs w:val="21"/>
        </w:rPr>
        <w:t>的质量或者不</w:t>
      </w:r>
    </w:p>
    <w:p>
      <w:pPr>
        <w:spacing w:beforeLines="50" w:line="360" w:lineRule="auto"/>
        <w:ind w:left="929" w:leftChars="300" w:hanging="299" w:hangingChars="142"/>
        <w:rPr>
          <w:rFonts w:ascii="宋体" w:hAnsi="宋体" w:cs="宋体"/>
          <w:b/>
          <w:bCs/>
          <w:szCs w:val="21"/>
        </w:rPr>
      </w:pPr>
      <w:r>
        <w:rPr>
          <w:rFonts w:hint="eastAsia" w:ascii="宋体" w:hAnsi="宋体" w:cs="宋体"/>
          <w:b/>
          <w:bCs/>
          <w:szCs w:val="21"/>
        </w:rPr>
        <w:t>能诚信履约，应当提供书面说明，提交相关证明材料；投标人不能证明其报价合理性</w:t>
      </w:r>
    </w:p>
    <w:p>
      <w:pPr>
        <w:spacing w:beforeLines="50" w:line="360" w:lineRule="auto"/>
        <w:ind w:left="630" w:leftChars="300"/>
        <w:rPr>
          <w:rFonts w:ascii="宋体" w:hAnsi="宋体" w:cs="宋体"/>
          <w:b/>
          <w:bCs/>
          <w:szCs w:val="21"/>
        </w:rPr>
      </w:pPr>
      <w:r>
        <w:rPr>
          <w:rFonts w:hint="eastAsia" w:ascii="宋体" w:hAnsi="宋体" w:cs="宋体"/>
          <w:b/>
          <w:bCs/>
          <w:szCs w:val="21"/>
        </w:rPr>
        <w:t>的，评标委员会应当将其作为无效投标处理。</w:t>
      </w:r>
    </w:p>
    <w:p>
      <w:pPr>
        <w:pStyle w:val="61"/>
        <w:ind w:left="0" w:leftChars="0" w:firstLine="0" w:firstLineChars="0"/>
      </w:pPr>
    </w:p>
    <w:p>
      <w:pPr>
        <w:pStyle w:val="61"/>
        <w:ind w:firstLine="400"/>
      </w:pPr>
    </w:p>
    <w:p>
      <w:pPr>
        <w:pStyle w:val="3"/>
        <w:spacing w:line="360" w:lineRule="auto"/>
        <w:rPr>
          <w:rFonts w:hint="eastAsia" w:ascii="宋体" w:hAnsi="宋体" w:eastAsia="宋体" w:cs="Times New Roman"/>
          <w:b/>
          <w:color w:val="000000"/>
          <w:kern w:val="2"/>
          <w:sz w:val="21"/>
          <w:szCs w:val="21"/>
          <w:lang w:val="en-US" w:eastAsia="zh-CN" w:bidi="ar-SA"/>
        </w:rPr>
      </w:pPr>
      <w:bookmarkStart w:id="115" w:name="_Toc83905542"/>
      <w:r>
        <w:rPr>
          <w:rFonts w:hint="eastAsia" w:ascii="宋体" w:hAnsi="宋体" w:eastAsia="宋体" w:cs="Times New Roman"/>
          <w:b/>
          <w:color w:val="000000"/>
          <w:kern w:val="2"/>
          <w:sz w:val="21"/>
          <w:szCs w:val="21"/>
          <w:lang w:val="en-US" w:eastAsia="zh-CN" w:bidi="ar-SA"/>
        </w:rPr>
        <w:t>一、特殊科室年度维保服务工作</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（一）、维保技术人员工作要求：</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采购方通过电话或微信方式将故障情况报给上班维保人员，维保人员在上班时间要10分钟内到达现场处理，下班时间期间要保证30分钟内到现场处理。</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（二）、维保日常工作要求：</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1、日工作内容</w:t>
      </w:r>
    </w:p>
    <w:p>
      <w:pPr>
        <w:pStyle w:val="3"/>
        <w:widowControl w:val="0"/>
        <w:numPr>
          <w:ilvl w:val="0"/>
          <w:numId w:val="0"/>
        </w:numPr>
        <w:spacing w:line="360" w:lineRule="auto"/>
        <w:ind w:firstLine="420" w:firstLineChars="200"/>
        <w:jc w:val="both"/>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（1）巡查各特殊科室的洁净空调设备和电力设备运行情况</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（2）巡查气体设备的管路检测是否存在泄漏情况</w:t>
      </w:r>
    </w:p>
    <w:p>
      <w:pPr>
        <w:pStyle w:val="3"/>
        <w:widowControl w:val="0"/>
        <w:numPr>
          <w:ilvl w:val="0"/>
          <w:numId w:val="0"/>
        </w:numPr>
        <w:spacing w:line="360" w:lineRule="auto"/>
        <w:ind w:firstLine="420" w:firstLineChars="200"/>
        <w:jc w:val="both"/>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（3）处理当日发生的故障问题</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（4）巡查各科室的送回风口的过滤网清洗及风口的保洁</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2、月工作内容</w:t>
      </w:r>
    </w:p>
    <w:p>
      <w:pPr>
        <w:pStyle w:val="3"/>
        <w:widowControl w:val="0"/>
        <w:numPr>
          <w:ilvl w:val="0"/>
          <w:numId w:val="0"/>
        </w:numPr>
        <w:spacing w:line="360" w:lineRule="auto"/>
        <w:ind w:firstLine="420" w:firstLineChars="200"/>
        <w:jc w:val="both"/>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（1）对净化机组、盘管风机的设备性能运行情况进行检查和维护保养</w:t>
      </w:r>
    </w:p>
    <w:p>
      <w:pPr>
        <w:pStyle w:val="3"/>
        <w:widowControl w:val="0"/>
        <w:numPr>
          <w:ilvl w:val="0"/>
          <w:numId w:val="0"/>
        </w:numPr>
        <w:spacing w:line="360" w:lineRule="auto"/>
        <w:ind w:firstLine="420" w:firstLineChars="200"/>
        <w:jc w:val="both"/>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（2）对水泵主备进行使用更换</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 xml:space="preserve">（3）对各科室的UPS电源进行检测和放电测试                                                                              </w:t>
      </w:r>
    </w:p>
    <w:p>
      <w:pPr>
        <w:pStyle w:val="3"/>
        <w:widowControl w:val="0"/>
        <w:numPr>
          <w:ilvl w:val="0"/>
          <w:numId w:val="0"/>
        </w:numPr>
        <w:spacing w:line="360" w:lineRule="auto"/>
        <w:ind w:firstLine="420" w:firstLineChars="200"/>
        <w:jc w:val="both"/>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3、季度工作内容：添加电机轴承润滑油</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4、年度工作内容</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（1）半年更换一次净化机组的冷冻水</w:t>
      </w:r>
    </w:p>
    <w:p>
      <w:pPr>
        <w:pStyle w:val="3"/>
        <w:widowControl w:val="0"/>
        <w:numPr>
          <w:ilvl w:val="0"/>
          <w:numId w:val="0"/>
        </w:numPr>
        <w:spacing w:line="360" w:lineRule="auto"/>
        <w:ind w:firstLine="420" w:firstLineChars="200"/>
        <w:jc w:val="both"/>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（2）年底对特殊科室室外设备进行除锈</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（三）、维保工作主要内容</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四楼NICU</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1.自动门以及配套设施设备的检査、维护、保养、维修、配件更换和耗材更换。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2.区域内功能房及走廊；含顶、墙、地面、门的检查、维护、保养、维修、配件更换和耗材更换。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3.刷手池含感应水龙头及配套设施的检查、维护、保养、维修、配件更换和耗材更换。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4.医用气体终端；含医用气体管道系统、氧气、空气及负压的检査、维护、保养、维修、配件更换和耗材更换。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5.吊桥和吊塔的检查、维护、保养、维修、配件更换和耗材更换(包含气体终端、电源插座及其线路、电话和网络插座及其线路)。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6.漏电监测保护系统的检査、维护、保养，隔离变压器。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7.电话、网络和门禁、广播系统的检査、维护、保养、维修、配件更换。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8.UPS备用电系统和电池检查、维护、保养，并做好维保记录表。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9.给排水系统管道的检査、维护、保养、维修、配件更换。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10.配套的配电系统(照明、开关、插座、空气开关、漏电保护器等)检査、维护、保养维修、配件更换。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11.净化空调风系统:包括新风空气处理机组(PAU系列)、循环风空气处理机组(AHU系列)、空气处理机组配套的电气控制系统、风机盘管和高静压风机盘管、电极式加湿器的检查、维护、保养、维修、配件更换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12.空调(空气处理机组、风机盘管)的供水及回水管路上的电动水阀、手动水阀、水管温度计、水压表、Y型过滤器的检查、维护、保养、维修、配件更换。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13.独立的供回水设备模块化风冷式冷(热)水机组、低噪音管道压力泵及配套设施设各的检查、维护、保养、维修、配件更换。</w:t>
      </w:r>
    </w:p>
    <w:p>
      <w:pPr>
        <w:numPr>
          <w:ilvl w:val="0"/>
          <w:numId w:val="0"/>
        </w:numPr>
        <w:spacing w:line="360" w:lineRule="auto"/>
        <w:jc w:val="left"/>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 xml:space="preserve">    14.加湿桶更换。</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二楼检验科PCR实验室(净化部分)、人流手术室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1.检验科(净化部分)、人流手术室;包括自动门以及配套设施设备的检查、维护、保养、维修、配件更换和耗材更换。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2.检验科(净化部分)、人流手术室区域内功能房及走廊:含顶、墙、地面、门的检查、维护、保养、维修、配件更换和耗材更换。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3.检验科(净化部分)、人流手术室刷手池含感应水龙头及配套设施的检查、维护、保养、维修、配件更换和耗材更换。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4.人流手术室医用气体终端；含医用气体管道系统的检查、维护、保养、维修、配件更换和耗材更换。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5.人流手术室的吊桥和吊塔的检查、维护、保养、维修、配件更換和耗材更換(包含气体终端、电源插座及其线路、电话和网络插座及其线路)。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6.检验科(净化部分)、人流手术室漏电监测保护系统的检查、维护、保养。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7.人流手术室二氧化碳及空气汇流的检查、维护、保养。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8.人流手术室的监控系统的检查、维护、保养、维护、配件更換和耗材更换。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9.人流手术室的电话、网络和门禁、广播系统的检查、维护、保养、维护、配件更换。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 xml:space="preserve">    10.人流手术室的呼叫主机和呼叫分机的检查、维护、保养、维修、配件更换。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11.UPS备用电系统和电池检查、维护、保养，做好维护记录表。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12.检验科(净化部分)、人流手术室的给排水系统管道的检查、维护、保养、维修、配件更换。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13.检验科(净化部分)、人流手术室配套的配电系统(开关、插座、空气开关、漏电保护器等)检查、维护、保养、维修、配件更换。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14.检验科(净化部分)、人流手术室净化空调风系统:包括新风空气处理机组(PAU系列）循环风空气处理机组(AHU系列)、空气处理机组配套的电气控制系统、风机盘管和高静压风机盘管、电极式加湿器的检查、维护、保养、维修、配件更換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15.检验科(净化部分)、人流手术室空调(空气处理机组、风机盘管)的供水及回水管路上的电动水阀、手动水阀、水管温度计、水压表、Y型过滤器的检査、维护、保养、维修、配件更换。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16.检验科(净化部分)、人流手术室空气消毒机的检查、维护、保养、维修、配件更换和耗材更换。</w:t>
      </w:r>
    </w:p>
    <w:p>
      <w:pPr>
        <w:ind w:left="239" w:leftChars="114" w:firstLine="210" w:firstLineChars="10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17.加湿桶更换。</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七楼产房</w:t>
      </w:r>
    </w:p>
    <w:p>
      <w:pPr>
        <w:pStyle w:val="3"/>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1.产房：包括自动门以及配套设施设备的检查、维护、保养、维修、配件更换和耗材更换。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2.产房区域内功能房及走廊；含顶、墙、地面、门的检查、维护、保养、维修、配件更换和耗材更换。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3.产房刷手池含感应水龙头及配套设施的检查、维护、保养、维修、配件更换和耗材更换。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4.产房医用气体终端：含医用气体管道系统的检查、维护、保养、维修、配件更换和耗材更换。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5.产房的吊桥和吊塔的检查、维护、保养、维修、配件更换和耗材更换（包含气体终端、电源插座及其线路、电话和网络插座及其线路）。</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6.产房AGSS麻醉废气排放系统（包括管道）排放口的检查、维护、保养、维修、配件更换和耗材更换。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7.产房漏电监测保护系统的检査、维护、保养。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8.产房的监控系统的检查、维护、保养、维修、配件更换和耗材更换。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9.产房的电话、网络和门禁、广播系统的检査、维护、保养、维修、配件更换。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10.产房的呼叫主机和呼叫分机的检查、维护、保养、维修、配件更换。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11.UPS备用电系统和电池检查、维护、保养，并做好维护记录表。</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12.产房的给排水系统管道的检查、维护、保养、维修、配件更换。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13.产房配套的配电系统（照明、开关、插座、空气开关、漏电保护器等）检查、维护、保养、维修、配件更换。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14.产房净化空调风系统：包括新风空气处理机组（PAU系列）、循环风空气处理机组（AHU系列）、空气处理机组配套的电气控制系统、风机盘管和高静压风机盘管、电极式加湿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15.产房空调（空气处理机组、风机盘管）的供水及回水管路上的电动水阀、手动水阀、水管温度计、水压表、Y型过滤器的检查、维护、保养、维修、配件更换。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16.产房独立的供回水设备模块化风冷式冷（热）水机组、低噪音管道压力泵及配套设施设备的检查、维护、保养、维修、配件更换。</w:t>
      </w:r>
    </w:p>
    <w:p>
      <w:pPr>
        <w:numPr>
          <w:ilvl w:val="0"/>
          <w:numId w:val="0"/>
        </w:numPr>
        <w:jc w:val="left"/>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 xml:space="preserve">    17.加湿桶更换。</w:t>
      </w: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十楼手术室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1.手术室：包括自动门以及配套设施设备的检查、维护、保养、维修、配件更换和耗材更换。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2.手术室区域内功能房及走廊：含顶、墙、地面、门的检查、维护、保养、维修、配件更换和耗材更换。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3.手术室刷手池含感应水龙头及配套设施的检査、维护、保养、维修、配件更换和耗材更换。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4.手术室医用气体终端：含医用气体管道系统的检查、维护、保养、维修、配件更换和耗材更换。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5.手术室的吊桥和吊塔的检査、维护、保养、维修、配件更换和耗材更换（包含气体终端、电源插座及其线路、电话和网络插座及其线路）</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6.手术室AGSS麻醉废气排放系统（包括管道）排放口的检查、维护、保养、维修、配件更换和耗材更换。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7.手术室漏电监测保护系统的检查、维护、保养。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8.手术室二氧化碳及笑气汇流排的检查、维护、保养。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9.手术室的监控系统的检査、维护、保养、维修、配件更换和耗材更换。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10.手术室的电话、网络和门禁、视频监控及广播系统的检査、维护、保养、维修、配件更换。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11.手术室的呼叫主机和呼叫分机的检查、维护、保养、维修、配件更换。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12.UPS备用电系统和电池检查、维护、保养，做好维护记录表。</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13.手术室的给排水系统管道的检查、维护、保养、维修、配件更换。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14.手术室配套的配电系统（照明、开关、插座、空气开关、漏电保护器等）检查、维护、保养、维修、配件更换。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15.手术室净化空调风系统：包括新风空气处理机组（PAU系列）、循环风空气处理机组（AHU系列）、空气处理机组配套的电气控制系统、风机盘管和高静压风机盘管、电极式加湿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16.手术室空调（空气处理机组、风机盘管）的供水及回水管路上的电动水阀、手动水阀、水管温度计、水压表、Y型过滤器的检查、维护、保养、维修、配件更换。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17.手术室独立的供回水设备模块化风冷式冷（热）水机组、低噪音管道压力泵及配套设施设备的检查、维护、保养、维修、配件更换。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18.加湿桶更换。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19.水处理系统维护。</w:t>
      </w:r>
    </w:p>
    <w:p>
      <w:pPr>
        <w:pStyle w:val="3"/>
        <w:widowControl w:val="0"/>
        <w:numPr>
          <w:ilvl w:val="0"/>
          <w:numId w:val="0"/>
        </w:numPr>
        <w:spacing w:line="360" w:lineRule="auto"/>
        <w:jc w:val="both"/>
        <w:rPr>
          <w:rFonts w:hint="eastAsia" w:ascii="宋体" w:hAnsi="宋体" w:eastAsia="宋体" w:cs="Times New Roman"/>
          <w:color w:val="000000" w:themeColor="text1"/>
          <w:kern w:val="2"/>
          <w:sz w:val="21"/>
          <w:szCs w:val="21"/>
          <w:lang w:val="en-US" w:eastAsia="zh-CN" w:bidi="ar-SA"/>
        </w:rPr>
      </w:pPr>
    </w:p>
    <w:p>
      <w:pPr>
        <w:pStyle w:val="3"/>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二、特殊科室洁净净化机组年度更换过滤器工作</w:t>
      </w:r>
    </w:p>
    <w:p>
      <w:pPr>
        <w:pStyle w:val="3"/>
        <w:widowControl w:val="0"/>
        <w:numPr>
          <w:ilvl w:val="0"/>
          <w:numId w:val="0"/>
        </w:numPr>
        <w:spacing w:line="360" w:lineRule="auto"/>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（一）、过滤器产品质量要求：供应商更换的过滤器产品必须要达到国家相关质量监管部门的技术质量标准要求；更换次数按相关要求进行。</w:t>
      </w:r>
    </w:p>
    <w:p>
      <w:pPr>
        <w:pStyle w:val="3"/>
        <w:widowControl w:val="0"/>
        <w:numPr>
          <w:ilvl w:val="0"/>
          <w:numId w:val="0"/>
        </w:numPr>
        <w:spacing w:line="360" w:lineRule="auto"/>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（二）、特殊科室过滤器更换的总数</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1、新生儿科：初效16张、中效33张、亚高效4张、高效31张；</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2、手术室：初效16张、中效36张、亚高效4张、高效37张；</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3、产房：初效20张、中效15张、高效25张；</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4、检验科：初效：12张、中效9张、高效18张；</w:t>
      </w:r>
    </w:p>
    <w:p>
      <w:pPr>
        <w:pStyle w:val="3"/>
        <w:widowControl w:val="0"/>
        <w:numPr>
          <w:ilvl w:val="0"/>
          <w:numId w:val="0"/>
        </w:numPr>
        <w:spacing w:line="360" w:lineRule="auto"/>
        <w:ind w:firstLine="420" w:firstLineChars="200"/>
        <w:jc w:val="both"/>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但最终以更换后经使用科室、设备科、供应商三方负责人确认的数量为准。</w:t>
      </w:r>
    </w:p>
    <w:p>
      <w:pPr>
        <w:pStyle w:val="3"/>
        <w:widowControl w:val="0"/>
        <w:numPr>
          <w:ilvl w:val="0"/>
          <w:numId w:val="0"/>
        </w:numPr>
        <w:spacing w:line="360" w:lineRule="auto"/>
        <w:ind w:firstLine="420" w:firstLineChars="200"/>
        <w:jc w:val="both"/>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（三）、年度过滤器更换完成后，对层流洁净区域进行环境检测，并要保证洁净效果能够达标。</w:t>
      </w:r>
    </w:p>
    <w:p>
      <w:pPr>
        <w:spacing w:line="360" w:lineRule="auto"/>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（四）、洁净净化机组过滤器更换规格及数量明细</w:t>
      </w:r>
    </w:p>
    <w:tbl>
      <w:tblPr>
        <w:tblStyle w:val="52"/>
        <w:tblW w:w="8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971"/>
        <w:gridCol w:w="3330"/>
        <w:gridCol w:w="990"/>
        <w:gridCol w:w="88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序号</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名称</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规格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Times New Roman"/>
                <w:color w:val="000000" w:themeColor="text1"/>
                <w:kern w:val="2"/>
                <w:sz w:val="21"/>
                <w:szCs w:val="21"/>
                <w:lang w:val="en-US" w:eastAsia="zh-CN" w:bidi="ar-SA"/>
              </w:rPr>
            </w:pPr>
            <w:r>
              <w:rPr>
                <w:rFonts w:hint="default" w:ascii="宋体" w:hAnsi="宋体" w:eastAsia="宋体" w:cs="Times New Roman"/>
                <w:color w:val="000000" w:themeColor="text1"/>
                <w:kern w:val="2"/>
                <w:sz w:val="21"/>
                <w:szCs w:val="21"/>
                <w:lang w:val="en-US" w:eastAsia="zh-CN" w:bidi="ar-SA"/>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595*495*95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595*595*95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595*495*95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6</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7</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295*495*95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8</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9</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495*595*95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10</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11</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495*595*534*6B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12</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595*595*534*8B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13</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295*595*534*4B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14</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595*295*534*8B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15</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595*595*534*8B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16</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595*295*534*8B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17</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295*595*534*4B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18</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295*295*534*4B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19</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495*595*534*6B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20</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495*295*534*6B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21</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592*592*292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22</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287*592*292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23</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287*287*292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24</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490*592*292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25</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490*287*292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26</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GG/AA484*485*150-H13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38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27</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GG/AA305*305*150-H13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28</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GG/AA305*610*150-H13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28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color w:val="000000" w:themeColor="text1"/>
                <w:kern w:val="2"/>
                <w:sz w:val="21"/>
                <w:szCs w:val="21"/>
                <w:lang w:val="en-US" w:eastAsia="zh-CN" w:bidi="ar-SA"/>
              </w:rPr>
            </w:pPr>
            <w:r>
              <w:rPr>
                <w:rFonts w:hint="eastAsia" w:ascii="宋体" w:hAnsi="宋体" w:eastAsia="宋体" w:cs="Times New Roman"/>
                <w:color w:val="000000" w:themeColor="text1"/>
                <w:kern w:val="2"/>
                <w:sz w:val="21"/>
                <w:szCs w:val="21"/>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000000" w:themeColor="text1"/>
                <w:kern w:val="2"/>
                <w:sz w:val="21"/>
                <w:szCs w:val="21"/>
                <w:lang w:val="en-US" w:eastAsia="zh-CN" w:bidi="ar-SA"/>
              </w:rPr>
            </w:pPr>
          </w:p>
        </w:tc>
      </w:tr>
    </w:tbl>
    <w:p>
      <w:pPr>
        <w:pStyle w:val="4"/>
        <w:numPr>
          <w:ilvl w:val="0"/>
          <w:numId w:val="0"/>
        </w:numPr>
        <w:spacing w:beforeLines="0" w:afterLines="50" w:line="390" w:lineRule="exact"/>
        <w:rPr>
          <w:rFonts w:hint="eastAsia" w:ascii="宋体" w:hAnsi="宋体" w:eastAsia="宋体" w:cs="Times New Roman"/>
          <w:color w:val="000000" w:themeColor="text1"/>
          <w:kern w:val="2"/>
          <w:sz w:val="21"/>
          <w:szCs w:val="21"/>
          <w:lang w:val="en-US" w:eastAsia="zh-CN" w:bidi="ar-SA"/>
        </w:rPr>
      </w:pPr>
    </w:p>
    <w:p>
      <w:pPr>
        <w:pStyle w:val="4"/>
        <w:numPr>
          <w:ilvl w:val="0"/>
          <w:numId w:val="0"/>
        </w:numPr>
        <w:spacing w:beforeLines="0" w:afterLines="50" w:line="390" w:lineRule="exact"/>
        <w:rPr>
          <w:rFonts w:hint="eastAsia" w:ascii="宋体" w:hAnsi="宋体" w:eastAsia="宋体"/>
          <w:b/>
          <w:color w:val="000000" w:themeColor="text1"/>
        </w:rPr>
      </w:pPr>
    </w:p>
    <w:p>
      <w:pPr>
        <w:pStyle w:val="4"/>
        <w:numPr>
          <w:ilvl w:val="0"/>
          <w:numId w:val="0"/>
        </w:numPr>
        <w:spacing w:beforeLines="0" w:afterLines="50" w:line="390" w:lineRule="exact"/>
        <w:rPr>
          <w:rFonts w:hint="eastAsia" w:ascii="宋体" w:hAnsi="宋体" w:eastAsia="宋体"/>
          <w:b/>
          <w:color w:val="000000" w:themeColor="text1"/>
        </w:rPr>
      </w:pPr>
    </w:p>
    <w:p>
      <w:pPr>
        <w:pStyle w:val="3"/>
        <w:rPr>
          <w:rFonts w:hint="eastAsia" w:ascii="宋体" w:hAnsi="宋体" w:eastAsia="宋体"/>
          <w:b/>
          <w:color w:val="000000" w:themeColor="text1"/>
        </w:rPr>
      </w:pPr>
    </w:p>
    <w:p>
      <w:pPr>
        <w:pStyle w:val="3"/>
        <w:rPr>
          <w:rFonts w:hint="eastAsia" w:ascii="宋体" w:hAnsi="宋体" w:eastAsia="宋体"/>
          <w:b/>
          <w:color w:val="000000" w:themeColor="text1"/>
        </w:rPr>
      </w:pPr>
    </w:p>
    <w:p>
      <w:pPr>
        <w:pStyle w:val="3"/>
        <w:rPr>
          <w:rFonts w:hint="eastAsia" w:ascii="宋体" w:hAnsi="宋体" w:eastAsia="宋体"/>
          <w:b/>
          <w:color w:val="000000" w:themeColor="text1"/>
        </w:rPr>
      </w:pPr>
    </w:p>
    <w:p>
      <w:pPr>
        <w:pStyle w:val="3"/>
        <w:rPr>
          <w:rFonts w:hint="eastAsia" w:ascii="宋体" w:hAnsi="宋体" w:eastAsia="宋体"/>
          <w:b/>
          <w:color w:val="000000" w:themeColor="text1"/>
        </w:rPr>
      </w:pPr>
    </w:p>
    <w:p>
      <w:pPr>
        <w:pStyle w:val="4"/>
        <w:numPr>
          <w:ilvl w:val="0"/>
          <w:numId w:val="0"/>
        </w:numPr>
        <w:spacing w:beforeLines="0" w:afterLines="50" w:line="390" w:lineRule="exact"/>
        <w:jc w:val="both"/>
        <w:rPr>
          <w:rFonts w:hint="eastAsia" w:ascii="宋体" w:hAnsi="宋体" w:eastAsia="宋体"/>
          <w:b/>
          <w:color w:val="000000" w:themeColor="text1"/>
        </w:rPr>
      </w:pPr>
    </w:p>
    <w:p>
      <w:pPr>
        <w:rPr>
          <w:rFonts w:hint="eastAsia"/>
        </w:rPr>
      </w:pPr>
    </w:p>
    <w:p>
      <w:pPr>
        <w:pStyle w:val="4"/>
        <w:numPr>
          <w:ilvl w:val="0"/>
          <w:numId w:val="0"/>
        </w:numPr>
        <w:spacing w:beforeLines="0" w:afterLines="50" w:line="390" w:lineRule="exact"/>
        <w:rPr>
          <w:rFonts w:ascii="宋体" w:hAnsi="宋体"/>
          <w:b/>
          <w:color w:val="000000" w:themeColor="text1"/>
          <w:szCs w:val="21"/>
        </w:rPr>
      </w:pPr>
      <w:r>
        <w:rPr>
          <w:rFonts w:hint="eastAsia" w:ascii="宋体" w:hAnsi="宋体" w:eastAsia="宋体"/>
          <w:b/>
          <w:color w:val="000000" w:themeColor="text1"/>
        </w:rPr>
        <w:t>第三部分 供应商须知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
      <w:pPr>
        <w:pStyle w:val="61"/>
        <w:ind w:firstLine="400"/>
      </w:pPr>
    </w:p>
    <w:tbl>
      <w:tblPr>
        <w:tblStyle w:val="52"/>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561"/>
        <w:gridCol w:w="425"/>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bookmarkStart w:id="116" w:name="_Toc456272919"/>
            <w:bookmarkStart w:id="117" w:name="_Toc434832495"/>
            <w:bookmarkStart w:id="118" w:name="_Toc3201"/>
            <w:bookmarkStart w:id="119" w:name="_Toc529883804"/>
            <w:bookmarkStart w:id="120" w:name="_Toc456648358"/>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项  目</w:t>
            </w:r>
          </w:p>
        </w:tc>
        <w:tc>
          <w:tcPr>
            <w:tcW w:w="698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1</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保证金数额</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Cs w:val="21"/>
              </w:rPr>
            </w:pPr>
            <w:r>
              <w:rPr>
                <w:rFonts w:hint="eastAsia" w:ascii="宋体" w:hAnsi="宋体"/>
                <w:bCs/>
                <w:snapToGrid w:val="0"/>
                <w:szCs w:val="21"/>
              </w:rPr>
              <w:t>大写：</w:t>
            </w:r>
            <w:r>
              <w:rPr>
                <w:rFonts w:hint="eastAsia" w:ascii="宋体" w:hAnsi="宋体"/>
                <w:bCs/>
                <w:snapToGrid w:val="0"/>
                <w:szCs w:val="21"/>
                <w:lang w:val="en-US" w:eastAsia="zh-CN"/>
              </w:rPr>
              <w:t>贰</w:t>
            </w:r>
            <w:r>
              <w:rPr>
                <w:rFonts w:hint="eastAsia" w:ascii="宋体" w:hAnsi="宋体"/>
                <w:bCs/>
                <w:snapToGrid w:val="0"/>
                <w:szCs w:val="21"/>
              </w:rPr>
              <w:t>仟元整   小写：</w:t>
            </w:r>
            <w:r>
              <w:rPr>
                <w:rFonts w:hint="eastAsia" w:ascii="宋体" w:hAnsi="宋体" w:cs="仿宋"/>
                <w:szCs w:val="21"/>
              </w:rPr>
              <w:t>￥</w:t>
            </w:r>
            <w:r>
              <w:rPr>
                <w:rFonts w:hint="eastAsia" w:ascii="宋体" w:hAnsi="宋体" w:cs="宋体"/>
                <w:kern w:val="44"/>
                <w:szCs w:val="21"/>
                <w:lang w:val="en-US" w:eastAsia="zh-CN"/>
              </w:rPr>
              <w:t>2</w:t>
            </w:r>
            <w:r>
              <w:rPr>
                <w:rFonts w:hint="eastAsia" w:ascii="宋体" w:hAnsi="宋体" w:cs="宋体"/>
                <w:kern w:val="44"/>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szCs w:val="21"/>
              </w:rPr>
              <w:t>交纳方式</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szCs w:val="21"/>
              </w:rPr>
              <w:t>仅限银行转账方式（不接受现金、银行汇票、银行保函或其它票证）。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交纳时间</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必须在开标前到账；</w:t>
            </w:r>
          </w:p>
          <w:p>
            <w:pPr>
              <w:snapToGrid w:val="0"/>
              <w:spacing w:line="360" w:lineRule="auto"/>
              <w:rPr>
                <w:rFonts w:ascii="宋体" w:hAnsi="宋体"/>
                <w:szCs w:val="21"/>
              </w:rPr>
            </w:pPr>
            <w:r>
              <w:rPr>
                <w:rFonts w:hint="eastAsia" w:ascii="宋体" w:hAnsi="宋体"/>
                <w:szCs w:val="21"/>
              </w:rPr>
              <w:t>到账时间以银行出具的电子回单为准。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其他说明</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到账证明以采购代理机构从银行系统中打印的投标保证金进账记录单为准。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转账单应注明“</w:t>
            </w:r>
            <w:r>
              <w:rPr>
                <w:rFonts w:hint="eastAsia" w:ascii="宋体" w:hAnsi="宋体"/>
                <w:b/>
                <w:bCs/>
                <w:szCs w:val="21"/>
              </w:rPr>
              <w:t>编号</w:t>
            </w:r>
            <w:r>
              <w:rPr>
                <w:rFonts w:hint="eastAsia" w:ascii="宋体" w:hAnsi="宋体"/>
                <w:b/>
                <w:bCs/>
                <w:szCs w:val="21"/>
                <w:lang w:eastAsia="zh-CN"/>
              </w:rPr>
              <w:t>YJFY20250717</w:t>
            </w:r>
            <w:r>
              <w:rPr>
                <w:rFonts w:hint="eastAsia" w:ascii="宋体" w:hAnsi="宋体" w:cs="宋体"/>
                <w:b/>
                <w:bCs/>
                <w:color w:val="000000"/>
                <w:szCs w:val="21"/>
              </w:rPr>
              <w:t>项目</w:t>
            </w:r>
            <w:r>
              <w:rPr>
                <w:rFonts w:hint="eastAsia" w:ascii="宋体" w:hAnsi="宋体"/>
                <w:b/>
                <w:bCs/>
                <w:szCs w:val="21"/>
              </w:rPr>
              <w:t>投标保证金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提    示</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b/>
                <w:szCs w:val="21"/>
              </w:rPr>
              <w:t>周六、周日的银行一般不办理对公业务，请注意提前办理支付，以免逾期。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p>
            <w:pPr>
              <w:spacing w:line="360" w:lineRule="auto"/>
              <w:jc w:val="center"/>
              <w:rPr>
                <w:rFonts w:ascii="宋体" w:hAnsi="宋体"/>
                <w:szCs w:val="21"/>
              </w:rPr>
            </w:pPr>
            <w:r>
              <w:rPr>
                <w:rFonts w:hint="eastAsia" w:ascii="宋体" w:hAnsi="宋体"/>
                <w:szCs w:val="21"/>
              </w:rPr>
              <w:t>汇入户址</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开户名称</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bCs/>
                <w:szCs w:val="21"/>
              </w:rPr>
              <w:t>阳江市投源招标采购有限公司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账    号</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cs="宋体"/>
                <w:szCs w:val="21"/>
              </w:rPr>
              <w:t>9550880223387800158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开户银行</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szCs w:val="21"/>
              </w:rPr>
            </w:pPr>
            <w:r>
              <w:rPr>
                <w:rFonts w:hint="eastAsia" w:ascii="宋体" w:hAnsi="宋体"/>
                <w:bCs/>
                <w:szCs w:val="21"/>
              </w:rPr>
              <w:t>广发股份有限公司阳江滨海支行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成交服务费</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054" w:hanging="1054" w:hangingChars="500"/>
              <w:rPr>
                <w:rFonts w:ascii="宋体" w:hAnsi="宋体"/>
                <w:szCs w:val="21"/>
              </w:rPr>
            </w:pPr>
            <w:r>
              <w:rPr>
                <w:rFonts w:hint="eastAsia" w:ascii="宋体" w:hAnsi="宋体"/>
                <w:b/>
                <w:szCs w:val="21"/>
              </w:rPr>
              <w:t>收费标准：</w:t>
            </w:r>
            <w:r>
              <w:rPr>
                <w:rFonts w:hint="eastAsia" w:ascii="宋体" w:hAnsi="宋体"/>
                <w:bCs/>
                <w:szCs w:val="21"/>
              </w:rPr>
              <w:t>根据发改价格[2011]534号文的规定</w:t>
            </w:r>
            <w:r>
              <w:rPr>
                <w:rFonts w:hint="eastAsia" w:ascii="宋体" w:hAnsi="宋体"/>
                <w:szCs w:val="21"/>
              </w:rPr>
              <w:t>，招标代理服务费按差额定率累进法计算。成交服务费由</w:t>
            </w:r>
            <w:r>
              <w:rPr>
                <w:rFonts w:hint="eastAsia" w:ascii="宋体" w:hAnsi="宋体" w:cs="宋体"/>
                <w:szCs w:val="21"/>
              </w:rPr>
              <w:t>成交供应商</w:t>
            </w:r>
            <w:r>
              <w:rPr>
                <w:rFonts w:hint="eastAsia" w:ascii="宋体" w:hAnsi="宋体"/>
                <w:szCs w:val="21"/>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ind w:right="-92" w:rightChars="-44"/>
              <w:jc w:val="center"/>
              <w:rPr>
                <w:rFonts w:ascii="宋体" w:hAnsi="宋体"/>
                <w:szCs w:val="21"/>
              </w:rPr>
            </w:pPr>
            <w:r>
              <w:rPr>
                <w:rFonts w:hint="eastAsia" w:ascii="宋体" w:hAnsi="宋体"/>
                <w:szCs w:val="21"/>
              </w:rPr>
              <w:t>成交服务费支付方式</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由</w:t>
            </w:r>
            <w:r>
              <w:rPr>
                <w:rFonts w:hint="eastAsia" w:ascii="宋体" w:hAnsi="宋体" w:cs="宋体"/>
                <w:szCs w:val="21"/>
              </w:rPr>
              <w:t>成交供应商</w:t>
            </w:r>
            <w:r>
              <w:rPr>
                <w:rFonts w:hint="eastAsia" w:ascii="宋体" w:hAnsi="宋体"/>
                <w:szCs w:val="21"/>
              </w:rPr>
              <w:t>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lang w:val="en-GB"/>
              </w:rPr>
              <w:t>统一结算</w:t>
            </w:r>
            <w:r>
              <w:rPr>
                <w:rFonts w:hint="eastAsia" w:ascii="宋体" w:hAnsi="宋体"/>
                <w:szCs w:val="21"/>
              </w:rPr>
              <w:t>币种</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均不计息，以人民币元结算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restart"/>
            <w:tcBorders>
              <w:top w:val="single" w:color="auto" w:sz="4" w:space="0"/>
              <w:left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6</w:t>
            </w:r>
          </w:p>
        </w:tc>
        <w:tc>
          <w:tcPr>
            <w:tcW w:w="212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投标资料数量和封装（投标人如同时参与多个分包的投标，则其必须按分包独立编制投标文件和按分包独立封装）</w:t>
            </w:r>
          </w:p>
        </w:tc>
        <w:tc>
          <w:tcPr>
            <w:tcW w:w="1986"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共提供3份投标资料，分别封装：</w:t>
            </w: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1、资格审查文件。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2、商务及技术文件。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3、</w:t>
            </w:r>
            <w:r>
              <w:rPr>
                <w:rFonts w:hint="eastAsia" w:ascii="宋体" w:hAnsi="宋体"/>
                <w:b/>
                <w:szCs w:val="21"/>
              </w:rPr>
              <w:t>唱标文件</w:t>
            </w:r>
            <w:r>
              <w:rPr>
                <w:rFonts w:hint="eastAsia" w:ascii="宋体" w:hAnsi="宋体"/>
                <w:b/>
                <w:bCs/>
                <w:color w:val="000000"/>
              </w:rPr>
              <w:t>。</w:t>
            </w:r>
          </w:p>
          <w:p>
            <w:pPr>
              <w:spacing w:line="360" w:lineRule="auto"/>
              <w:jc w:val="left"/>
              <w:rPr>
                <w:rFonts w:ascii="宋体" w:hAnsi="宋体"/>
                <w:szCs w:val="21"/>
              </w:rPr>
            </w:pPr>
            <w:r>
              <w:rPr>
                <w:rFonts w:hint="eastAsia" w:ascii="宋体" w:hAnsi="宋体"/>
                <w:b/>
                <w:szCs w:val="21"/>
              </w:rPr>
              <w:t>（1）</w:t>
            </w:r>
            <w:r>
              <w:rPr>
                <w:rFonts w:hint="eastAsia" w:ascii="宋体" w:hAnsi="宋体"/>
                <w:szCs w:val="21"/>
              </w:rPr>
              <w:t>《开标一览表》一份（加盖公章）；</w:t>
            </w:r>
          </w:p>
          <w:p>
            <w:pPr>
              <w:spacing w:line="360" w:lineRule="auto"/>
              <w:jc w:val="left"/>
              <w:rPr>
                <w:rFonts w:ascii="宋体" w:hAnsi="宋体"/>
                <w:b/>
                <w:szCs w:val="21"/>
                <w:shd w:val="pct10" w:color="auto" w:fill="FFFFFF"/>
              </w:rPr>
            </w:pPr>
            <w:r>
              <w:rPr>
                <w:rFonts w:hint="eastAsia" w:ascii="宋体" w:hAnsi="宋体"/>
                <w:b/>
                <w:szCs w:val="21"/>
              </w:rPr>
              <w:t>（2）</w:t>
            </w:r>
            <w:r>
              <w:rPr>
                <w:rFonts w:hint="eastAsia" w:ascii="宋体" w:hAnsi="宋体"/>
                <w:szCs w:val="21"/>
              </w:rPr>
              <w:t>《投标保证金》汇款底单一份（加盖公章）。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p>
          <w:p>
            <w:pPr>
              <w:jc w:val="left"/>
            </w:pPr>
            <w:r>
              <w:rPr>
                <w:rFonts w:hint="eastAsia" w:ascii="宋体" w:hAnsi="宋体"/>
                <w:bCs/>
                <w:color w:val="000000"/>
              </w:rPr>
              <w:t>每一密封信封上均注明“于</w:t>
            </w:r>
            <w:r>
              <w:rPr>
                <w:rFonts w:hint="eastAsia" w:ascii="宋体"/>
                <w:bCs/>
                <w:color w:val="000000"/>
                <w:u w:val="single"/>
              </w:rPr>
              <w:t xml:space="preserve">     </w:t>
            </w:r>
            <w:r>
              <w:rPr>
                <w:rFonts w:hint="eastAsia" w:ascii="宋体" w:hAnsi="宋体"/>
                <w:bCs/>
                <w:color w:val="000000"/>
                <w:u w:val="single"/>
              </w:rPr>
              <w:t>（投标截止时间）</w:t>
            </w:r>
            <w:r>
              <w:rPr>
                <w:rFonts w:hint="eastAsia" w:ascii="宋体"/>
                <w:bCs/>
                <w:color w:val="000000"/>
                <w:u w:val="single"/>
              </w:rPr>
              <w:t xml:space="preserve">   </w:t>
            </w:r>
            <w:r>
              <w:rPr>
                <w:rFonts w:hint="eastAsia" w:ascii="宋体" w:hAnsi="宋体"/>
                <w:bCs/>
                <w:color w:val="000000"/>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r>
              <w:rPr>
                <w:rFonts w:hint="eastAsia" w:ascii="宋体" w:hAnsi="宋体"/>
                <w:bCs/>
                <w:color w:val="000000"/>
              </w:rPr>
              <w:t>投标人未按上述规定对投标文件进行密封和加写标记，代理采购机构有权予以拒收，并退回给投标人。电报、电话、传真等非纸质形式的投标概不接受。</w:t>
            </w:r>
            <w:r>
              <w:rPr>
                <w:rFonts w:ascii="宋体" w:hAnsi="宋体"/>
                <w:b/>
                <w:bCs/>
                <w:color w:val="000000"/>
              </w:rPr>
              <w:t>所有投标文件密封袋的封口处应加盖投标人</w:t>
            </w:r>
            <w:r>
              <w:rPr>
                <w:rFonts w:hint="eastAsia" w:ascii="宋体" w:hAnsi="宋体"/>
                <w:b/>
                <w:bCs/>
                <w:color w:val="000000"/>
              </w:rPr>
              <w:t>公章或密封章。</w:t>
            </w:r>
          </w:p>
        </w:tc>
      </w:tr>
      <w:bookmarkEnd w:id="116"/>
      <w:bookmarkEnd w:id="117"/>
      <w:bookmarkEnd w:id="118"/>
      <w:bookmarkEnd w:id="119"/>
      <w:bookmarkEnd w:id="120"/>
    </w:tbl>
    <w:p>
      <w:pPr>
        <w:pStyle w:val="8"/>
        <w:ind w:firstLine="0"/>
        <w:rPr>
          <w:color w:val="000000" w:themeColor="text1"/>
        </w:rPr>
      </w:pPr>
    </w:p>
    <w:p>
      <w:pPr>
        <w:pStyle w:val="5"/>
        <w:numPr>
          <w:ilvl w:val="0"/>
          <w:numId w:val="0"/>
        </w:numPr>
        <w:rPr>
          <w:color w:val="000000"/>
          <w:sz w:val="24"/>
          <w:szCs w:val="24"/>
        </w:rPr>
      </w:pPr>
      <w:bookmarkStart w:id="121" w:name="_Toc332270314"/>
      <w:bookmarkStart w:id="122" w:name="_Toc340507410"/>
      <w:bookmarkStart w:id="123" w:name="_Toc331512866"/>
      <w:bookmarkStart w:id="124" w:name="_Toc22970"/>
      <w:bookmarkStart w:id="125" w:name="_Toc336681903"/>
      <w:bookmarkStart w:id="126" w:name="_Toc350756418"/>
      <w:bookmarkStart w:id="127" w:name="_Toc340672837"/>
      <w:bookmarkStart w:id="128" w:name="_Toc339019983"/>
      <w:bookmarkStart w:id="129" w:name="_Toc339019857"/>
      <w:bookmarkStart w:id="130" w:name="_Toc366072496"/>
      <w:bookmarkStart w:id="131" w:name="_Toc330459953"/>
      <w:bookmarkStart w:id="132" w:name="_Toc339020201"/>
      <w:bookmarkStart w:id="133" w:name="_Toc365985147"/>
      <w:bookmarkStart w:id="134" w:name="_Toc333238601"/>
      <w:bookmarkStart w:id="135" w:name="_Toc341348306"/>
      <w:bookmarkStart w:id="136" w:name="_Toc349127594"/>
      <w:bookmarkStart w:id="137" w:name="_Toc342296728"/>
      <w:bookmarkStart w:id="138" w:name="_Toc3712"/>
      <w:bookmarkStart w:id="139" w:name="_Toc365967041"/>
      <w:bookmarkStart w:id="140" w:name="_Toc349143557"/>
      <w:bookmarkStart w:id="141" w:name="_Toc18090"/>
      <w:bookmarkStart w:id="142" w:name="_Toc339362268"/>
      <w:bookmarkStart w:id="143" w:name="_Toc333935655"/>
      <w:bookmarkStart w:id="144" w:name="_Toc333935314"/>
      <w:bookmarkStart w:id="145" w:name="_Toc336681548"/>
      <w:bookmarkStart w:id="146" w:name="_Toc25982"/>
      <w:bookmarkStart w:id="147" w:name="_Toc333237756"/>
      <w:bookmarkStart w:id="148" w:name="_Toc332206676"/>
      <w:bookmarkStart w:id="149" w:name="_Toc17024"/>
      <w:bookmarkStart w:id="150" w:name="_Toc337632326"/>
      <w:bookmarkStart w:id="151" w:name="_Toc408126433"/>
      <w:bookmarkStart w:id="152" w:name="_Toc339441055"/>
      <w:bookmarkStart w:id="153" w:name="_Toc333237645"/>
      <w:bookmarkStart w:id="154" w:name="_Toc29694"/>
      <w:bookmarkStart w:id="155" w:name="_Toc340677038"/>
      <w:bookmarkStart w:id="156" w:name="_Toc497224194"/>
      <w:bookmarkStart w:id="157" w:name="_Toc342060342"/>
      <w:bookmarkStart w:id="158" w:name="_Toc503785396"/>
      <w:bookmarkStart w:id="159" w:name="_Toc350438717"/>
      <w:bookmarkStart w:id="160" w:name="_Toc49265606"/>
      <w:bookmarkStart w:id="161" w:name="_Toc29536"/>
      <w:bookmarkStart w:id="162" w:name="_Toc339020063"/>
      <w:bookmarkStart w:id="163" w:name="_Toc331684006"/>
      <w:bookmarkStart w:id="164" w:name="_Toc345513835"/>
      <w:bookmarkStart w:id="165" w:name="_Toc83905543"/>
      <w:r>
        <w:rPr>
          <w:rFonts w:hint="eastAsia"/>
          <w:color w:val="000000"/>
          <w:sz w:val="24"/>
          <w:szCs w:val="24"/>
        </w:rPr>
        <w:t>Ａ</w:t>
      </w:r>
      <w:r>
        <w:rPr>
          <w:color w:val="000000"/>
          <w:sz w:val="24"/>
          <w:szCs w:val="24"/>
        </w:rPr>
        <w:t xml:space="preserve">  </w:t>
      </w:r>
      <w:r>
        <w:rPr>
          <w:rFonts w:hint="eastAsia"/>
          <w:color w:val="000000"/>
          <w:sz w:val="24"/>
          <w:szCs w:val="24"/>
        </w:rPr>
        <w:t>说</w:t>
      </w:r>
      <w:r>
        <w:rPr>
          <w:color w:val="000000"/>
          <w:sz w:val="24"/>
          <w:szCs w:val="24"/>
        </w:rPr>
        <w:t xml:space="preserve">  </w:t>
      </w:r>
      <w:r>
        <w:rPr>
          <w:rFonts w:hint="eastAsia"/>
          <w:color w:val="000000"/>
          <w:sz w:val="24"/>
          <w:szCs w:val="24"/>
        </w:rPr>
        <w:t>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pStyle w:val="6"/>
        <w:numPr>
          <w:ilvl w:val="4"/>
          <w:numId w:val="23"/>
        </w:numPr>
        <w:tabs>
          <w:tab w:val="left" w:pos="432"/>
          <w:tab w:val="left" w:pos="720"/>
        </w:tabs>
        <w:spacing w:before="240" w:after="120"/>
        <w:ind w:left="2432" w:hanging="2432"/>
      </w:pPr>
      <w:bookmarkStart w:id="166" w:name="_Toc497224195"/>
      <w:bookmarkStart w:id="167" w:name="_Toc503785397"/>
      <w:bookmarkStart w:id="168" w:name="_Toc18874"/>
      <w:bookmarkStart w:id="169" w:name="_Toc345513836"/>
      <w:bookmarkStart w:id="170" w:name="_Toc339362269"/>
      <w:bookmarkStart w:id="171" w:name="_Toc31689"/>
      <w:bookmarkStart w:id="172" w:name="_Toc340507411"/>
      <w:bookmarkStart w:id="173" w:name="_Toc336681904"/>
      <w:bookmarkStart w:id="174" w:name="_Toc10665"/>
      <w:bookmarkStart w:id="175" w:name="_Toc365985148"/>
      <w:bookmarkStart w:id="176" w:name="_Toc337632327"/>
      <w:bookmarkStart w:id="177" w:name="_Toc331684007"/>
      <w:bookmarkStart w:id="178" w:name="_Toc341348307"/>
      <w:bookmarkStart w:id="179" w:name="_Toc350438718"/>
      <w:bookmarkStart w:id="180" w:name="_Toc339019858"/>
      <w:bookmarkStart w:id="181" w:name="_Toc15728"/>
      <w:bookmarkStart w:id="182" w:name="_Toc339441056"/>
      <w:bookmarkStart w:id="183" w:name="_Toc365967042"/>
      <w:bookmarkStart w:id="184" w:name="_Toc336681549"/>
      <w:bookmarkStart w:id="185" w:name="_Toc333238602"/>
      <w:bookmarkStart w:id="186" w:name="_Toc340677039"/>
      <w:bookmarkStart w:id="187" w:name="_Toc333237757"/>
      <w:bookmarkStart w:id="188" w:name="_Toc340672838"/>
      <w:bookmarkStart w:id="189" w:name="_Toc342296729"/>
      <w:bookmarkStart w:id="190" w:name="_Toc333935315"/>
      <w:bookmarkStart w:id="191" w:name="_Toc17953"/>
      <w:bookmarkStart w:id="192" w:name="_Toc408126434"/>
      <w:bookmarkStart w:id="193" w:name="_Toc333935656"/>
      <w:bookmarkStart w:id="194" w:name="_Toc366072497"/>
      <w:bookmarkStart w:id="195" w:name="_Toc332270315"/>
      <w:bookmarkStart w:id="196" w:name="_Toc1400"/>
      <w:bookmarkStart w:id="197" w:name="_Toc83905544"/>
      <w:bookmarkStart w:id="198" w:name="_Toc339019984"/>
      <w:bookmarkStart w:id="199" w:name="_Toc333237646"/>
      <w:bookmarkStart w:id="200" w:name="_Toc339020202"/>
      <w:bookmarkStart w:id="201" w:name="_Toc330459954"/>
      <w:bookmarkStart w:id="202" w:name="_Toc339020064"/>
      <w:bookmarkStart w:id="203" w:name="_Toc331512867"/>
      <w:bookmarkStart w:id="204" w:name="_Toc350756419"/>
      <w:bookmarkStart w:id="205" w:name="_Toc349127595"/>
      <w:bookmarkStart w:id="206" w:name="_Toc25992"/>
      <w:bookmarkStart w:id="207" w:name="_Toc332206677"/>
      <w:bookmarkStart w:id="208" w:name="_Toc349143558"/>
      <w:bookmarkStart w:id="209" w:name="_Toc49265607"/>
      <w:bookmarkStart w:id="210" w:name="_Toc342060343"/>
      <w:r>
        <w:rPr>
          <w:rFonts w:hint="eastAsia"/>
        </w:rPr>
        <w:t>适用范围</w:t>
      </w:r>
      <w:bookmarkEnd w:id="166"/>
      <w:bookmarkEnd w:id="167"/>
      <w:r>
        <w:rPr>
          <w:rFonts w:hint="eastAsia"/>
        </w:rPr>
        <w:t>和资金来源</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widowControl/>
        <w:tabs>
          <w:tab w:val="left" w:pos="502"/>
          <w:tab w:val="left" w:pos="753"/>
          <w:tab w:val="left" w:pos="840"/>
        </w:tabs>
        <w:adjustRightInd w:val="0"/>
        <w:snapToGrid w:val="0"/>
        <w:spacing w:line="360" w:lineRule="auto"/>
        <w:ind w:left="752" w:hanging="751" w:hangingChars="358"/>
        <w:rPr>
          <w:rFonts w:ascii="宋体"/>
          <w:bCs/>
          <w:color w:val="000000"/>
        </w:rPr>
      </w:pPr>
      <w:bookmarkStart w:id="211" w:name="_Toc339019859"/>
      <w:bookmarkStart w:id="212" w:name="_Toc337632328"/>
      <w:bookmarkStart w:id="213" w:name="_Toc341348308"/>
      <w:bookmarkStart w:id="214" w:name="_Toc339441057"/>
      <w:bookmarkStart w:id="215" w:name="_Toc333935316"/>
      <w:bookmarkStart w:id="216" w:name="_Toc339020203"/>
      <w:bookmarkStart w:id="217" w:name="_Toc342296730"/>
      <w:bookmarkStart w:id="218" w:name="_Toc340507412"/>
      <w:bookmarkStart w:id="219" w:name="_Toc374454571"/>
      <w:bookmarkStart w:id="220" w:name="_Toc333238603"/>
      <w:bookmarkStart w:id="221" w:name="_Toc330459955"/>
      <w:bookmarkStart w:id="222" w:name="_Toc333935657"/>
      <w:bookmarkStart w:id="223" w:name="_Toc340672839"/>
      <w:bookmarkStart w:id="224" w:name="_Toc365967043"/>
      <w:bookmarkStart w:id="225" w:name="_Toc342060344"/>
      <w:bookmarkStart w:id="226" w:name="_Toc331512868"/>
      <w:bookmarkStart w:id="227" w:name="_Toc345513837"/>
      <w:bookmarkStart w:id="228" w:name="_Toc497224196"/>
      <w:bookmarkStart w:id="229" w:name="_Toc333237647"/>
      <w:bookmarkStart w:id="230" w:name="_Toc336681550"/>
      <w:bookmarkStart w:id="231" w:name="_Toc332206678"/>
      <w:bookmarkStart w:id="232" w:name="_Toc366072498"/>
      <w:bookmarkStart w:id="233" w:name="_Toc333237758"/>
      <w:bookmarkStart w:id="234" w:name="_Toc365985149"/>
      <w:bookmarkStart w:id="235" w:name="_Toc336681905"/>
      <w:bookmarkStart w:id="236" w:name="_Toc503785398"/>
      <w:bookmarkStart w:id="237" w:name="_Toc350756420"/>
      <w:bookmarkStart w:id="238" w:name="_Toc331684008"/>
      <w:bookmarkStart w:id="239" w:name="_Toc339020065"/>
      <w:bookmarkStart w:id="240" w:name="_Toc340677040"/>
      <w:bookmarkStart w:id="241" w:name="_Toc339362270"/>
      <w:bookmarkStart w:id="242" w:name="_Toc339019985"/>
      <w:bookmarkStart w:id="243" w:name="_Toc350438719"/>
      <w:bookmarkStart w:id="244" w:name="_Toc349127596"/>
      <w:bookmarkStart w:id="245" w:name="_Toc349143559"/>
      <w:bookmarkStart w:id="246" w:name="_Toc332270316"/>
      <w:r>
        <w:rPr>
          <w:rFonts w:hint="eastAsia" w:ascii="宋体"/>
          <w:bCs/>
          <w:color w:val="000000"/>
        </w:rPr>
        <w:t>1</w:t>
      </w:r>
      <w:r>
        <w:rPr>
          <w:rFonts w:ascii="宋体"/>
          <w:bCs/>
          <w:color w:val="000000"/>
        </w:rPr>
        <w:t>.1</w:t>
      </w:r>
      <w:r>
        <w:rPr>
          <w:rFonts w:hint="eastAsia" w:ascii="宋体"/>
          <w:bCs/>
          <w:color w:val="000000"/>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2    本项目的采购人已获得一笔资金用于支付本次招标项下的所有合同款项。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3    本招标文件由集中采购机构负责解释。</w:t>
      </w:r>
    </w:p>
    <w:p>
      <w:pPr>
        <w:pStyle w:val="6"/>
        <w:numPr>
          <w:ilvl w:val="4"/>
          <w:numId w:val="23"/>
        </w:numPr>
        <w:tabs>
          <w:tab w:val="left" w:pos="432"/>
          <w:tab w:val="left" w:pos="720"/>
        </w:tabs>
        <w:spacing w:before="240" w:after="120"/>
        <w:ind w:left="2432" w:hanging="2432"/>
      </w:pPr>
      <w:bookmarkStart w:id="247" w:name="_Toc4436"/>
      <w:bookmarkStart w:id="248" w:name="_Toc14470"/>
      <w:bookmarkStart w:id="249" w:name="_Toc9158"/>
      <w:bookmarkStart w:id="250" w:name="_Toc408126435"/>
      <w:bookmarkStart w:id="251" w:name="_Toc13268"/>
      <w:bookmarkStart w:id="252" w:name="_Toc14024"/>
      <w:bookmarkStart w:id="253" w:name="_Toc20613"/>
      <w:bookmarkStart w:id="254" w:name="_Toc6482"/>
      <w:bookmarkStart w:id="255" w:name="_Toc49265608"/>
      <w:bookmarkStart w:id="256" w:name="_Toc83905545"/>
      <w:r>
        <w:rPr>
          <w:rFonts w:hint="eastAsia"/>
        </w:rPr>
        <w:t>定义</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2.1</w:t>
      </w:r>
      <w:r>
        <w:rPr>
          <w:rFonts w:ascii="宋体"/>
          <w:bCs/>
          <w:color w:val="000000"/>
        </w:rPr>
        <w:tab/>
      </w:r>
      <w:r>
        <w:rPr>
          <w:rFonts w:hint="eastAsia" w:ascii="宋体"/>
          <w:bCs/>
          <w:color w:val="000000"/>
        </w:rPr>
        <w:t>“集中采购机构”系指组织本次招标的阳江市投源招标采购有限公司。</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hint="eastAsia" w:ascii="宋体"/>
          <w:bCs/>
          <w:color w:val="000000"/>
        </w:rPr>
        <w:t>2</w:t>
      </w:r>
      <w:r>
        <w:rPr>
          <w:rFonts w:ascii="宋体"/>
          <w:bCs/>
          <w:color w:val="000000"/>
        </w:rPr>
        <w:t>.2</w:t>
      </w:r>
      <w:r>
        <w:rPr>
          <w:rFonts w:hint="eastAsia" w:ascii="宋体"/>
          <w:bCs/>
          <w:color w:val="000000"/>
        </w:rPr>
        <w:tab/>
      </w:r>
      <w:r>
        <w:rPr>
          <w:rFonts w:hint="eastAsia" w:ascii="宋体"/>
          <w:bCs/>
          <w:color w:val="000000"/>
        </w:rPr>
        <w:tab/>
      </w:r>
      <w:r>
        <w:rPr>
          <w:rFonts w:hint="eastAsia" w:ascii="宋体"/>
          <w:bCs/>
          <w:color w:val="000000"/>
        </w:rPr>
        <w:t>“供应商”系指</w:t>
      </w:r>
      <w:r>
        <w:rPr>
          <w:rFonts w:hint="eastAsia" w:ascii="宋体" w:hAnsi="宋体"/>
          <w:bCs/>
          <w:color w:val="000000"/>
        </w:rPr>
        <w:t>符合招标文件合格供应商资格要求，并按招标文件规定提交投标文件的供应商。</w:t>
      </w:r>
    </w:p>
    <w:p>
      <w:pPr>
        <w:widowControl/>
        <w:tabs>
          <w:tab w:val="left" w:pos="753"/>
        </w:tabs>
        <w:adjustRightInd w:val="0"/>
        <w:snapToGrid w:val="0"/>
        <w:spacing w:line="360" w:lineRule="auto"/>
        <w:ind w:left="735" w:hanging="735" w:hangingChars="350"/>
        <w:rPr>
          <w:rFonts w:ascii="宋体" w:hAnsi="宋体"/>
          <w:bCs/>
          <w:color w:val="000000"/>
        </w:rPr>
      </w:pPr>
      <w:r>
        <w:rPr>
          <w:rFonts w:hint="eastAsia" w:ascii="宋体"/>
          <w:bCs/>
          <w:color w:val="000000"/>
        </w:rPr>
        <w:t>2.3</w:t>
      </w:r>
      <w:r>
        <w:rPr>
          <w:rFonts w:hint="eastAsia" w:ascii="宋体"/>
          <w:bCs/>
          <w:color w:val="000000"/>
        </w:rPr>
        <w:tab/>
      </w:r>
      <w:r>
        <w:rPr>
          <w:rFonts w:hint="eastAsia" w:ascii="宋体"/>
          <w:bCs/>
          <w:color w:val="000000"/>
        </w:rPr>
        <w:t>“采购人”系指</w:t>
      </w:r>
      <w:r>
        <w:rPr>
          <w:rFonts w:hint="eastAsia" w:ascii="宋体" w:hAnsi="宋体"/>
          <w:bCs/>
          <w:color w:val="000000" w:themeColor="text1"/>
          <w:lang w:eastAsia="zh-CN"/>
        </w:rPr>
        <w:t>阳江市妇幼保健院</w:t>
      </w:r>
      <w:r>
        <w:rPr>
          <w:rFonts w:hint="eastAsia" w:ascii="宋体"/>
          <w:bCs/>
          <w:color w:val="000000"/>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bCs/>
          <w:color w:val="000000"/>
        </w:rPr>
        <w:t>2.4</w:t>
      </w:r>
      <w:r>
        <w:rPr>
          <w:rFonts w:hint="eastAsia" w:ascii="宋体"/>
          <w:bCs/>
          <w:color w:val="000000"/>
        </w:rPr>
        <w:tab/>
      </w:r>
      <w:r>
        <w:rPr>
          <w:rFonts w:ascii="宋体" w:hAnsi="宋体"/>
          <w:bCs/>
          <w:color w:val="000000"/>
        </w:rPr>
        <w:t>“</w:t>
      </w:r>
      <w:r>
        <w:rPr>
          <w:rFonts w:hint="eastAsia" w:ascii="宋体" w:hAnsi="宋体"/>
          <w:bCs/>
          <w:color w:val="000000"/>
        </w:rPr>
        <w:t>货物</w:t>
      </w:r>
      <w:r>
        <w:rPr>
          <w:rFonts w:ascii="宋体" w:hAnsi="宋体"/>
          <w:bCs/>
          <w:color w:val="000000"/>
        </w:rPr>
        <w:t>”</w:t>
      </w:r>
      <w:r>
        <w:rPr>
          <w:rFonts w:hint="eastAsia" w:ascii="宋体" w:hAnsi="宋体"/>
          <w:bCs/>
          <w:color w:val="000000"/>
        </w:rPr>
        <w:t>系指供应商根据招标文件规定，须向采购人提供的设备、材料、备品备件、工具、使用手册、软件及有关技术资料等。</w:t>
      </w:r>
    </w:p>
    <w:p>
      <w:pPr>
        <w:widowControl/>
        <w:numPr>
          <w:ilvl w:val="1"/>
          <w:numId w:val="24"/>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“服务”系指招标文件规定中标供应商须承担与实施本项目有关的伴随服务，包括但不限于运输、安装、调试、技术支持、培训、售后服务等义务和合同中规定中标供应商应承担的其它义务。</w:t>
      </w:r>
    </w:p>
    <w:p>
      <w:pPr>
        <w:widowControl/>
        <w:numPr>
          <w:ilvl w:val="1"/>
          <w:numId w:val="24"/>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“日”系指日历天。</w:t>
      </w:r>
    </w:p>
    <w:p>
      <w:pPr>
        <w:widowControl/>
        <w:numPr>
          <w:ilvl w:val="1"/>
          <w:numId w:val="24"/>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“工作日”系指国家规定除法定节假日以外的以日</w:t>
      </w:r>
      <w:r>
        <w:rPr>
          <w:rFonts w:ascii="宋体" w:hAnsi="宋体"/>
          <w:bCs/>
          <w:color w:val="000000"/>
        </w:rPr>
        <w:t>为计算单位的工作时间</w:t>
      </w:r>
      <w:r>
        <w:rPr>
          <w:rFonts w:hint="eastAsia" w:ascii="宋体" w:hAnsi="宋体"/>
          <w:bCs/>
          <w:color w:val="000000"/>
        </w:rPr>
        <w:t>。</w:t>
      </w:r>
    </w:p>
    <w:p>
      <w:pPr>
        <w:pStyle w:val="6"/>
        <w:numPr>
          <w:ilvl w:val="4"/>
          <w:numId w:val="23"/>
        </w:numPr>
        <w:tabs>
          <w:tab w:val="left" w:pos="432"/>
          <w:tab w:val="left" w:pos="720"/>
        </w:tabs>
        <w:spacing w:before="240" w:after="120"/>
        <w:ind w:left="2432" w:hanging="2432"/>
      </w:pPr>
      <w:bookmarkStart w:id="257" w:name="_Toc503785399"/>
      <w:bookmarkStart w:id="258" w:name="_Toc497224197"/>
      <w:bookmarkStart w:id="259" w:name="_Toc366072499"/>
      <w:bookmarkStart w:id="260" w:name="_Toc342296731"/>
      <w:bookmarkStart w:id="261" w:name="_Toc49265609"/>
      <w:bookmarkStart w:id="262" w:name="_Toc333935658"/>
      <w:bookmarkStart w:id="263" w:name="_Toc345513838"/>
      <w:bookmarkStart w:id="264" w:name="_Toc374454572"/>
      <w:bookmarkStart w:id="265" w:name="_Toc331512869"/>
      <w:bookmarkStart w:id="266" w:name="_Toc20265"/>
      <w:bookmarkStart w:id="267" w:name="_Toc18406"/>
      <w:bookmarkStart w:id="268" w:name="_Toc336681551"/>
      <w:bookmarkStart w:id="269" w:name="_Toc14187"/>
      <w:bookmarkStart w:id="270" w:name="_Toc350438720"/>
      <w:bookmarkStart w:id="271" w:name="_Toc340677041"/>
      <w:bookmarkStart w:id="272" w:name="_Toc365985150"/>
      <w:bookmarkStart w:id="273" w:name="_Toc331684009"/>
      <w:bookmarkStart w:id="274" w:name="_Toc340507413"/>
      <w:bookmarkStart w:id="275" w:name="_Toc332206679"/>
      <w:bookmarkStart w:id="276" w:name="_Toc339441058"/>
      <w:bookmarkStart w:id="277" w:name="_Toc350756421"/>
      <w:bookmarkStart w:id="278" w:name="_Toc336681906"/>
      <w:bookmarkStart w:id="279" w:name="_Toc333237759"/>
      <w:bookmarkStart w:id="280" w:name="_Toc333237648"/>
      <w:bookmarkStart w:id="281" w:name="_Toc339019986"/>
      <w:bookmarkStart w:id="282" w:name="_Toc339362271"/>
      <w:bookmarkStart w:id="283" w:name="_Toc339019860"/>
      <w:bookmarkStart w:id="284" w:name="_Toc25691"/>
      <w:bookmarkStart w:id="285" w:name="_Toc341348309"/>
      <w:bookmarkStart w:id="286" w:name="_Toc83905546"/>
      <w:bookmarkStart w:id="287" w:name="_Toc3619"/>
      <w:bookmarkStart w:id="288" w:name="_Toc342060345"/>
      <w:bookmarkStart w:id="289" w:name="_Toc330459956"/>
      <w:bookmarkStart w:id="290" w:name="_Toc2079"/>
      <w:bookmarkStart w:id="291" w:name="_Toc349127597"/>
      <w:bookmarkStart w:id="292" w:name="_Toc408126436"/>
      <w:bookmarkStart w:id="293" w:name="_Toc339020066"/>
      <w:bookmarkStart w:id="294" w:name="_Toc333238604"/>
      <w:bookmarkStart w:id="295" w:name="_Toc339020204"/>
      <w:bookmarkStart w:id="296" w:name="_Toc337632329"/>
      <w:bookmarkStart w:id="297" w:name="_Toc333935317"/>
      <w:bookmarkStart w:id="298" w:name="_Toc349143560"/>
      <w:bookmarkStart w:id="299" w:name="_Toc340672840"/>
      <w:bookmarkStart w:id="300" w:name="_Toc31913"/>
      <w:bookmarkStart w:id="301" w:name="_Toc332270317"/>
      <w:bookmarkStart w:id="302" w:name="_Toc365967044"/>
      <w:r>
        <w:rPr>
          <w:rFonts w:hint="eastAsia"/>
        </w:rPr>
        <w:t>合格的</w:t>
      </w:r>
      <w:bookmarkEnd w:id="257"/>
      <w:bookmarkEnd w:id="258"/>
      <w:r>
        <w:rPr>
          <w:rFonts w:hint="eastAsia"/>
        </w:rPr>
        <w:t>供应商</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widowControl/>
        <w:tabs>
          <w:tab w:val="left" w:pos="502"/>
          <w:tab w:val="left" w:pos="753"/>
        </w:tabs>
        <w:adjustRightInd w:val="0"/>
        <w:snapToGrid w:val="0"/>
        <w:spacing w:line="360" w:lineRule="auto"/>
        <w:ind w:left="752" w:hanging="751" w:hangingChars="358"/>
        <w:rPr>
          <w:rFonts w:ascii="宋体"/>
          <w:bCs/>
          <w:color w:val="000000"/>
        </w:rPr>
      </w:pPr>
      <w:r>
        <w:rPr>
          <w:rFonts w:ascii="宋体"/>
          <w:bCs/>
          <w:color w:val="000000"/>
        </w:rPr>
        <w:t>3.1</w:t>
      </w:r>
      <w:r>
        <w:rPr>
          <w:rFonts w:hint="eastAsia" w:ascii="宋体"/>
          <w:bCs/>
          <w:color w:val="000000"/>
        </w:rPr>
        <w:tab/>
      </w:r>
      <w:r>
        <w:rPr>
          <w:rFonts w:hint="eastAsia" w:ascii="宋体"/>
          <w:bCs/>
          <w:color w:val="000000"/>
        </w:rPr>
        <w:tab/>
      </w:r>
      <w:r>
        <w:rPr>
          <w:rFonts w:hint="eastAsia" w:ascii="宋体" w:hAnsi="宋体"/>
          <w:bCs/>
          <w:color w:val="000000"/>
        </w:rPr>
        <w:t>国内有能力提供采购项目相关的工程、货物和服务且符合本项目合格供应商资格条件的供应商</w:t>
      </w:r>
      <w:r>
        <w:rPr>
          <w:rFonts w:hint="eastAsia" w:ascii="宋体"/>
          <w:bCs/>
          <w:color w:val="000000"/>
        </w:rPr>
        <w:t>为合格供应商。</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ascii="宋体"/>
          <w:bCs/>
          <w:color w:val="000000"/>
        </w:rPr>
        <w:t>3.2</w:t>
      </w:r>
      <w:r>
        <w:rPr>
          <w:rFonts w:ascii="宋体"/>
          <w:bCs/>
          <w:color w:val="000000"/>
        </w:rPr>
        <w:tab/>
      </w:r>
      <w:r>
        <w:rPr>
          <w:rFonts w:hint="eastAsia" w:ascii="宋体"/>
          <w:bCs/>
          <w:color w:val="000000"/>
        </w:rPr>
        <w:tab/>
      </w:r>
      <w:r>
        <w:rPr>
          <w:rFonts w:hint="eastAsia" w:ascii="宋体" w:hAnsi="宋体"/>
          <w:bCs/>
          <w:color w:val="000000"/>
        </w:rPr>
        <w:t>供应商必须遵守《中华人民共和国招标投标法》、《中华人民共和国政府采购法》的有关规定和其他相关的法律、法规、规章、条例及招标文件中的规定。</w:t>
      </w:r>
    </w:p>
    <w:p>
      <w:pPr>
        <w:pStyle w:val="6"/>
        <w:numPr>
          <w:ilvl w:val="4"/>
          <w:numId w:val="23"/>
        </w:numPr>
        <w:tabs>
          <w:tab w:val="left" w:pos="432"/>
          <w:tab w:val="left" w:pos="720"/>
        </w:tabs>
        <w:spacing w:before="240" w:after="120"/>
        <w:ind w:left="2432" w:hanging="2432"/>
      </w:pPr>
      <w:bookmarkStart w:id="303" w:name="_Toc333935659"/>
      <w:bookmarkStart w:id="304" w:name="_Toc333935318"/>
      <w:bookmarkStart w:id="305" w:name="_Toc339362272"/>
      <w:bookmarkStart w:id="306" w:name="_Toc332206680"/>
      <w:bookmarkStart w:id="307" w:name="_Toc4187"/>
      <w:bookmarkStart w:id="308" w:name="_Toc350438721"/>
      <w:bookmarkStart w:id="309" w:name="_Toc339020067"/>
      <w:bookmarkStart w:id="310" w:name="_Toc339019987"/>
      <w:bookmarkStart w:id="311" w:name="_Toc340677042"/>
      <w:bookmarkStart w:id="312" w:name="_Toc345513839"/>
      <w:bookmarkStart w:id="313" w:name="_Toc332270318"/>
      <w:bookmarkStart w:id="314" w:name="_Toc374454573"/>
      <w:bookmarkStart w:id="315" w:name="_Toc19490"/>
      <w:bookmarkStart w:id="316" w:name="_Toc333237760"/>
      <w:bookmarkStart w:id="317" w:name="_Toc337632330"/>
      <w:bookmarkStart w:id="318" w:name="_Toc339441059"/>
      <w:bookmarkStart w:id="319" w:name="_Toc2092"/>
      <w:bookmarkStart w:id="320" w:name="_Toc365985151"/>
      <w:bookmarkStart w:id="321" w:name="_Toc333238605"/>
      <w:bookmarkStart w:id="322" w:name="_Toc14689"/>
      <w:bookmarkStart w:id="323" w:name="_Toc342296732"/>
      <w:bookmarkStart w:id="324" w:name="_Toc339019861"/>
      <w:bookmarkStart w:id="325" w:name="_Toc336681907"/>
      <w:bookmarkStart w:id="326" w:name="_Toc49265610"/>
      <w:bookmarkStart w:id="327" w:name="_Toc20899"/>
      <w:bookmarkStart w:id="328" w:name="_Toc341348310"/>
      <w:bookmarkStart w:id="329" w:name="_Toc339020205"/>
      <w:bookmarkStart w:id="330" w:name="_Toc349127598"/>
      <w:bookmarkStart w:id="331" w:name="_Toc366072500"/>
      <w:bookmarkStart w:id="332" w:name="_Toc83905547"/>
      <w:bookmarkStart w:id="333" w:name="_Toc4192"/>
      <w:bookmarkStart w:id="334" w:name="_Toc350756422"/>
      <w:bookmarkStart w:id="335" w:name="_Toc331512870"/>
      <w:bookmarkStart w:id="336" w:name="_Toc497224198"/>
      <w:bookmarkStart w:id="337" w:name="_Toc330459957"/>
      <w:bookmarkStart w:id="338" w:name="_Toc24773"/>
      <w:bookmarkStart w:id="339" w:name="_Toc349143561"/>
      <w:bookmarkStart w:id="340" w:name="_Toc340672841"/>
      <w:bookmarkStart w:id="341" w:name="_Toc333237649"/>
      <w:bookmarkStart w:id="342" w:name="_Toc331684010"/>
      <w:bookmarkStart w:id="343" w:name="_Toc503785400"/>
      <w:bookmarkStart w:id="344" w:name="_Toc365967045"/>
      <w:bookmarkStart w:id="345" w:name="_Toc408126437"/>
      <w:bookmarkStart w:id="346" w:name="_Toc336681552"/>
      <w:bookmarkStart w:id="347" w:name="_Toc342060346"/>
      <w:bookmarkStart w:id="348" w:name="_Toc340507414"/>
      <w:r>
        <w:rPr>
          <w:rFonts w:hint="eastAsia"/>
        </w:rPr>
        <w:t>投标费用</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4.1</w:t>
      </w:r>
      <w:r>
        <w:rPr>
          <w:rFonts w:hint="eastAsia" w:ascii="宋体"/>
          <w:bCs/>
          <w:color w:val="000000"/>
        </w:rPr>
        <w:tab/>
      </w:r>
      <w:r>
        <w:rPr>
          <w:rFonts w:hint="eastAsia" w:hAnsi="宋体"/>
          <w:color w:val="000000"/>
        </w:rPr>
        <w:t>投标人应承担所有与准备和参加投标有关的费用。不论投标的结果如何，集中采购机构和采购人均无义务和责任承担这些费用</w:t>
      </w:r>
      <w:r>
        <w:rPr>
          <w:rFonts w:hint="eastAsia" w:ascii="宋体"/>
          <w:bCs/>
          <w:color w:val="000000"/>
        </w:rPr>
        <w:t>。</w:t>
      </w:r>
    </w:p>
    <w:p>
      <w:pPr>
        <w:pStyle w:val="5"/>
        <w:numPr>
          <w:ilvl w:val="0"/>
          <w:numId w:val="0"/>
        </w:numPr>
        <w:rPr>
          <w:color w:val="000000"/>
          <w:sz w:val="24"/>
          <w:szCs w:val="24"/>
        </w:rPr>
      </w:pPr>
      <w:bookmarkStart w:id="349" w:name="_Toc340507415"/>
      <w:bookmarkStart w:id="350" w:name="_Toc49265611"/>
      <w:bookmarkStart w:id="351" w:name="_Toc374454574"/>
      <w:bookmarkStart w:id="352" w:name="_Toc332206681"/>
      <w:bookmarkStart w:id="353" w:name="_Toc339019988"/>
      <w:bookmarkStart w:id="354" w:name="_Toc366072501"/>
      <w:bookmarkStart w:id="355" w:name="_Toc339362273"/>
      <w:bookmarkStart w:id="356" w:name="_Toc342060347"/>
      <w:bookmarkStart w:id="357" w:name="_Toc341348311"/>
      <w:bookmarkStart w:id="358" w:name="_Toc339019862"/>
      <w:bookmarkStart w:id="359" w:name="_Toc332270319"/>
      <w:bookmarkStart w:id="360" w:name="_Toc23804"/>
      <w:bookmarkStart w:id="361" w:name="_Toc408126438"/>
      <w:bookmarkStart w:id="362" w:name="_Toc333238606"/>
      <w:bookmarkStart w:id="363" w:name="_Toc342296733"/>
      <w:bookmarkStart w:id="364" w:name="_Toc339020068"/>
      <w:bookmarkStart w:id="365" w:name="_Toc337632331"/>
      <w:bookmarkStart w:id="366" w:name="_Toc340672842"/>
      <w:bookmarkStart w:id="367" w:name="_Toc350756423"/>
      <w:bookmarkStart w:id="368" w:name="_Toc333935319"/>
      <w:bookmarkStart w:id="369" w:name="_Toc331684011"/>
      <w:bookmarkStart w:id="370" w:name="_Toc17740"/>
      <w:bookmarkStart w:id="371" w:name="_Toc365967046"/>
      <w:bookmarkStart w:id="372" w:name="_Toc10615"/>
      <w:bookmarkStart w:id="373" w:name="_Toc345513840"/>
      <w:bookmarkStart w:id="374" w:name="_Toc497224199"/>
      <w:bookmarkStart w:id="375" w:name="_Toc350438722"/>
      <w:bookmarkStart w:id="376" w:name="_Toc340677043"/>
      <w:bookmarkStart w:id="377" w:name="_Toc333237650"/>
      <w:bookmarkStart w:id="378" w:name="_Toc333935660"/>
      <w:bookmarkStart w:id="379" w:name="_Toc12339"/>
      <w:bookmarkStart w:id="380" w:name="_Toc503785401"/>
      <w:bookmarkStart w:id="381" w:name="_Toc339020206"/>
      <w:bookmarkStart w:id="382" w:name="_Toc333237761"/>
      <w:bookmarkStart w:id="383" w:name="_Toc32397"/>
      <w:bookmarkStart w:id="384" w:name="_Toc349143562"/>
      <w:bookmarkStart w:id="385" w:name="_Toc336681553"/>
      <w:bookmarkStart w:id="386" w:name="_Toc330459958"/>
      <w:bookmarkStart w:id="387" w:name="_Toc331512871"/>
      <w:bookmarkStart w:id="388" w:name="_Toc365985152"/>
      <w:bookmarkStart w:id="389" w:name="_Toc16065"/>
      <w:bookmarkStart w:id="390" w:name="_Toc349127599"/>
      <w:bookmarkStart w:id="391" w:name="_Toc83905548"/>
      <w:bookmarkStart w:id="392" w:name="_Toc336681908"/>
      <w:bookmarkStart w:id="393" w:name="_Toc17602"/>
      <w:bookmarkStart w:id="394" w:name="_Toc339441060"/>
      <w:r>
        <w:rPr>
          <w:rFonts w:hint="eastAsia"/>
          <w:color w:val="000000"/>
          <w:sz w:val="24"/>
          <w:szCs w:val="24"/>
        </w:rPr>
        <w:t>Ｂ</w:t>
      </w:r>
      <w:r>
        <w:rPr>
          <w:color w:val="000000"/>
          <w:sz w:val="24"/>
          <w:szCs w:val="24"/>
        </w:rPr>
        <w:t xml:space="preserve">  </w:t>
      </w:r>
      <w:r>
        <w:rPr>
          <w:rFonts w:hint="eastAsia"/>
          <w:color w:val="000000"/>
          <w:sz w:val="24"/>
          <w:szCs w:val="24"/>
        </w:rPr>
        <w:t>招标文件说明</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pStyle w:val="6"/>
        <w:numPr>
          <w:ilvl w:val="4"/>
          <w:numId w:val="23"/>
        </w:numPr>
        <w:tabs>
          <w:tab w:val="left" w:pos="432"/>
          <w:tab w:val="left" w:pos="720"/>
        </w:tabs>
        <w:spacing w:before="240" w:after="120"/>
        <w:ind w:left="2432" w:hanging="2432"/>
      </w:pPr>
      <w:bookmarkStart w:id="395" w:name="_Toc345513841"/>
      <w:bookmarkStart w:id="396" w:name="_Toc331512872"/>
      <w:bookmarkStart w:id="397" w:name="_Toc32370"/>
      <w:bookmarkStart w:id="398" w:name="_Toc340672843"/>
      <w:bookmarkStart w:id="399" w:name="_Toc337632332"/>
      <w:bookmarkStart w:id="400" w:name="_Toc365985153"/>
      <w:bookmarkStart w:id="401" w:name="_Toc333935661"/>
      <w:bookmarkStart w:id="402" w:name="_Toc49265612"/>
      <w:bookmarkStart w:id="403" w:name="_Toc2167"/>
      <w:bookmarkStart w:id="404" w:name="_Toc366072502"/>
      <w:bookmarkStart w:id="405" w:name="_Toc341348312"/>
      <w:bookmarkStart w:id="406" w:name="_Toc350756424"/>
      <w:bookmarkStart w:id="407" w:name="_Toc339441061"/>
      <w:bookmarkStart w:id="408" w:name="_Toc32508"/>
      <w:bookmarkStart w:id="409" w:name="_Toc8558"/>
      <w:bookmarkStart w:id="410" w:name="_Toc332270320"/>
      <w:bookmarkStart w:id="411" w:name="_Toc333238607"/>
      <w:bookmarkStart w:id="412" w:name="_Toc12617"/>
      <w:bookmarkStart w:id="413" w:name="_Toc342296734"/>
      <w:bookmarkStart w:id="414" w:name="_Toc503785402"/>
      <w:bookmarkStart w:id="415" w:name="_Toc342060348"/>
      <w:bookmarkStart w:id="416" w:name="_Toc365967047"/>
      <w:bookmarkStart w:id="417" w:name="_Toc340507416"/>
      <w:bookmarkStart w:id="418" w:name="_Toc333237762"/>
      <w:bookmarkStart w:id="419" w:name="_Toc333935320"/>
      <w:bookmarkStart w:id="420" w:name="_Toc340677044"/>
      <w:bookmarkStart w:id="421" w:name="_Toc83905549"/>
      <w:bookmarkStart w:id="422" w:name="_Toc349143563"/>
      <w:bookmarkStart w:id="423" w:name="_Toc339019989"/>
      <w:bookmarkStart w:id="424" w:name="_Toc339020069"/>
      <w:bookmarkStart w:id="425" w:name="_Toc374454575"/>
      <w:bookmarkStart w:id="426" w:name="_Toc14562"/>
      <w:bookmarkStart w:id="427" w:name="_Toc20816"/>
      <w:bookmarkStart w:id="428" w:name="_Toc497224200"/>
      <w:bookmarkStart w:id="429" w:name="_Toc339020207"/>
      <w:bookmarkStart w:id="430" w:name="_Toc350438723"/>
      <w:bookmarkStart w:id="431" w:name="_Toc339019863"/>
      <w:bookmarkStart w:id="432" w:name="_Toc333237651"/>
      <w:bookmarkStart w:id="433" w:name="_Toc339362274"/>
      <w:bookmarkStart w:id="434" w:name="_Toc336681909"/>
      <w:bookmarkStart w:id="435" w:name="_Toc330459959"/>
      <w:bookmarkStart w:id="436" w:name="_Toc332206682"/>
      <w:bookmarkStart w:id="437" w:name="_Toc331684012"/>
      <w:bookmarkStart w:id="438" w:name="_Toc349127600"/>
      <w:bookmarkStart w:id="439" w:name="_Toc408126439"/>
      <w:bookmarkStart w:id="440" w:name="_Toc336681554"/>
      <w:r>
        <w:rPr>
          <w:rFonts w:hint="eastAsia"/>
        </w:rPr>
        <w:t>招标文件的构成</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5.1</w:t>
      </w:r>
      <w:r>
        <w:rPr>
          <w:rFonts w:ascii="宋体"/>
          <w:bCs/>
          <w:color w:val="000000"/>
        </w:rPr>
        <w:tab/>
      </w:r>
      <w:r>
        <w:rPr>
          <w:rFonts w:hint="eastAsia" w:ascii="宋体"/>
          <w:bCs/>
          <w:color w:val="000000"/>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第一部分  投标邀请函</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第二部分  采购项目内容</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第三部分  投标人须知</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第四部分  参考合同</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第五部分  投标文件格式（含附件）</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5.2</w:t>
      </w:r>
      <w:r>
        <w:rPr>
          <w:rFonts w:ascii="宋体"/>
          <w:bCs/>
          <w:color w:val="000000"/>
        </w:rPr>
        <w:tab/>
      </w:r>
      <w:r>
        <w:rPr>
          <w:rFonts w:hint="eastAsia" w:ascii="宋体"/>
          <w:bCs/>
          <w:color w:val="000000"/>
        </w:rPr>
        <w:t>招标文件以中文编印。</w:t>
      </w:r>
    </w:p>
    <w:p>
      <w:pPr>
        <w:pStyle w:val="6"/>
        <w:numPr>
          <w:ilvl w:val="4"/>
          <w:numId w:val="23"/>
        </w:numPr>
        <w:tabs>
          <w:tab w:val="left" w:pos="432"/>
          <w:tab w:val="left" w:pos="720"/>
        </w:tabs>
        <w:spacing w:before="240" w:after="120"/>
        <w:ind w:left="2432" w:hanging="2432"/>
      </w:pPr>
      <w:bookmarkStart w:id="441" w:name="_Toc339019990"/>
      <w:bookmarkStart w:id="442" w:name="_Toc350756425"/>
      <w:bookmarkStart w:id="443" w:name="_Toc365967048"/>
      <w:bookmarkStart w:id="444" w:name="_Toc339020208"/>
      <w:bookmarkStart w:id="445" w:name="_Toc336681555"/>
      <w:bookmarkStart w:id="446" w:name="_Toc342296735"/>
      <w:bookmarkStart w:id="447" w:name="_Toc333237652"/>
      <w:bookmarkStart w:id="448" w:name="_Toc365985154"/>
      <w:bookmarkStart w:id="449" w:name="_Toc339362275"/>
      <w:bookmarkStart w:id="450" w:name="_Toc349127601"/>
      <w:bookmarkStart w:id="451" w:name="_Toc333237763"/>
      <w:bookmarkStart w:id="452" w:name="_Toc333935321"/>
      <w:bookmarkStart w:id="453" w:name="_Toc332270321"/>
      <w:bookmarkStart w:id="454" w:name="_Toc341348313"/>
      <w:bookmarkStart w:id="455" w:name="_Toc333935662"/>
      <w:bookmarkStart w:id="456" w:name="_Toc497224201"/>
      <w:bookmarkStart w:id="457" w:name="_Toc330459960"/>
      <w:bookmarkStart w:id="458" w:name="_Toc336681910"/>
      <w:bookmarkStart w:id="459" w:name="_Toc331684013"/>
      <w:bookmarkStart w:id="460" w:name="_Toc370388389"/>
      <w:bookmarkStart w:id="461" w:name="_Toc349143564"/>
      <w:bookmarkStart w:id="462" w:name="_Toc339020070"/>
      <w:bookmarkStart w:id="463" w:name="_Toc337632333"/>
      <w:bookmarkStart w:id="464" w:name="_Toc503785403"/>
      <w:bookmarkStart w:id="465" w:name="_Toc333238608"/>
      <w:bookmarkStart w:id="466" w:name="_Toc350438724"/>
      <w:bookmarkStart w:id="467" w:name="_Toc345513842"/>
      <w:bookmarkStart w:id="468" w:name="_Toc342060349"/>
      <w:bookmarkStart w:id="469" w:name="_Toc331512873"/>
      <w:bookmarkStart w:id="470" w:name="_Toc339019864"/>
      <w:bookmarkStart w:id="471" w:name="_Toc340507417"/>
      <w:bookmarkStart w:id="472" w:name="_Toc332206683"/>
      <w:bookmarkStart w:id="473" w:name="_Toc340672844"/>
      <w:bookmarkStart w:id="474" w:name="_Toc340677045"/>
      <w:bookmarkStart w:id="475" w:name="_Toc339441062"/>
      <w:bookmarkStart w:id="476" w:name="_Toc24519"/>
      <w:bookmarkStart w:id="477" w:name="_Toc15841"/>
      <w:bookmarkStart w:id="478" w:name="_Toc408126440"/>
      <w:bookmarkStart w:id="479" w:name="_Toc49265613"/>
      <w:bookmarkStart w:id="480" w:name="_Toc16089"/>
      <w:bookmarkStart w:id="481" w:name="_Toc374454576"/>
      <w:bookmarkStart w:id="482" w:name="_Toc19581"/>
      <w:bookmarkStart w:id="483" w:name="_Toc20082"/>
      <w:bookmarkStart w:id="484" w:name="_Toc1821"/>
      <w:bookmarkStart w:id="485" w:name="_Toc83905550"/>
      <w:bookmarkStart w:id="486" w:name="_Toc21526"/>
      <w:bookmarkStart w:id="487" w:name="_Toc503785405"/>
      <w:bookmarkStart w:id="488" w:name="_Toc497224203"/>
      <w:bookmarkStart w:id="489" w:name="_Toc340507419"/>
      <w:bookmarkStart w:id="490" w:name="_Toc342296737"/>
      <w:bookmarkStart w:id="491" w:name="_Toc333935664"/>
      <w:bookmarkStart w:id="492" w:name="_Toc339019992"/>
      <w:bookmarkStart w:id="493" w:name="_Toc332206685"/>
      <w:bookmarkStart w:id="494" w:name="_Toc350756427"/>
      <w:bookmarkStart w:id="495" w:name="_Toc336681557"/>
      <w:bookmarkStart w:id="496" w:name="_Toc331684015"/>
      <w:bookmarkStart w:id="497" w:name="_Toc333237765"/>
      <w:bookmarkStart w:id="498" w:name="_Toc341348315"/>
      <w:bookmarkStart w:id="499" w:name="_Toc345513844"/>
      <w:bookmarkStart w:id="500" w:name="_Toc340677047"/>
      <w:bookmarkStart w:id="501" w:name="_Toc349127603"/>
      <w:bookmarkStart w:id="502" w:name="_Toc365967050"/>
      <w:bookmarkStart w:id="503" w:name="_Toc331512875"/>
      <w:bookmarkStart w:id="504" w:name="_Toc333237654"/>
      <w:bookmarkStart w:id="505" w:name="_Toc350438726"/>
      <w:bookmarkStart w:id="506" w:name="_Toc336681912"/>
      <w:bookmarkStart w:id="507" w:name="_Toc339020210"/>
      <w:bookmarkStart w:id="508" w:name="_Toc365985156"/>
      <w:bookmarkStart w:id="509" w:name="_Toc330459962"/>
      <w:bookmarkStart w:id="510" w:name="_Toc339441064"/>
      <w:bookmarkStart w:id="511" w:name="_Toc339020072"/>
      <w:bookmarkStart w:id="512" w:name="_Toc349143566"/>
      <w:bookmarkStart w:id="513" w:name="_Toc332270323"/>
      <w:bookmarkStart w:id="514" w:name="_Toc339019866"/>
      <w:bookmarkStart w:id="515" w:name="_Toc337632335"/>
      <w:bookmarkStart w:id="516" w:name="_Toc340672846"/>
      <w:bookmarkStart w:id="517" w:name="_Toc333935323"/>
      <w:bookmarkStart w:id="518" w:name="_Toc342060351"/>
      <w:bookmarkStart w:id="519" w:name="_Toc366072505"/>
      <w:bookmarkStart w:id="520" w:name="_Toc339362277"/>
      <w:bookmarkStart w:id="521" w:name="_Toc333238610"/>
      <w:r>
        <w:rPr>
          <w:rFonts w:hint="eastAsia"/>
        </w:rPr>
        <w:t>招标文件的澄清</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hint="eastAsia"/>
        </w:rPr>
        <w:t>、修改</w:t>
      </w:r>
      <w:bookmarkEnd w:id="476"/>
      <w:bookmarkEnd w:id="477"/>
      <w:bookmarkEnd w:id="478"/>
      <w:bookmarkEnd w:id="479"/>
      <w:bookmarkEnd w:id="480"/>
      <w:bookmarkEnd w:id="481"/>
      <w:bookmarkEnd w:id="482"/>
      <w:bookmarkEnd w:id="483"/>
      <w:bookmarkEnd w:id="484"/>
      <w:bookmarkEnd w:id="485"/>
      <w:bookmarkEnd w:id="486"/>
    </w:p>
    <w:p>
      <w:pPr>
        <w:widowControl/>
        <w:numPr>
          <w:ilvl w:val="1"/>
          <w:numId w:val="25"/>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招标文件需进行澄清或修改的，应在规定投标截止时间15日前，以书面形式通知所有登记备案领取招标文件的供应商。供应商收到澄清修改文件后，应当以书面形式确认。澄清修改的内容为招标文件的组成部分。</w:t>
      </w:r>
    </w:p>
    <w:p>
      <w:pPr>
        <w:widowControl/>
        <w:numPr>
          <w:ilvl w:val="1"/>
          <w:numId w:val="25"/>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澄清或修改时间距投标截止时间不足15日的，采购人或采购代理机构在征得已获取招标文件的供应商同意并书面确认后，可不改变投标截止时间。</w:t>
      </w:r>
    </w:p>
    <w:p>
      <w:pPr>
        <w:pStyle w:val="5"/>
        <w:numPr>
          <w:ilvl w:val="0"/>
          <w:numId w:val="0"/>
        </w:numPr>
        <w:rPr>
          <w:color w:val="000000"/>
          <w:sz w:val="24"/>
          <w:szCs w:val="24"/>
        </w:rPr>
      </w:pPr>
      <w:bookmarkStart w:id="522" w:name="_Toc12245"/>
      <w:bookmarkStart w:id="523" w:name="_Toc83905551"/>
      <w:bookmarkStart w:id="524" w:name="_Toc49265614"/>
      <w:bookmarkStart w:id="525" w:name="_Toc16848"/>
      <w:bookmarkStart w:id="526" w:name="_Toc374454577"/>
      <w:bookmarkStart w:id="527" w:name="_Toc1097"/>
      <w:bookmarkStart w:id="528" w:name="_Toc32614"/>
      <w:bookmarkStart w:id="529" w:name="_Toc8752"/>
      <w:bookmarkStart w:id="530" w:name="_Toc20712"/>
      <w:bookmarkStart w:id="531" w:name="_Toc1559"/>
      <w:bookmarkStart w:id="532" w:name="_Toc408126441"/>
      <w:r>
        <w:rPr>
          <w:rFonts w:hint="eastAsia"/>
          <w:color w:val="000000"/>
          <w:sz w:val="24"/>
          <w:szCs w:val="24"/>
        </w:rPr>
        <w:t>Ｃ</w:t>
      </w:r>
      <w:r>
        <w:rPr>
          <w:color w:val="000000"/>
          <w:sz w:val="24"/>
          <w:szCs w:val="24"/>
        </w:rPr>
        <w:t xml:space="preserve">  </w:t>
      </w:r>
      <w:r>
        <w:rPr>
          <w:rFonts w:hint="eastAsia"/>
          <w:color w:val="000000"/>
          <w:sz w:val="24"/>
          <w:szCs w:val="24"/>
        </w:rPr>
        <w:t>投标文件的编</w:t>
      </w:r>
      <w:bookmarkEnd w:id="487"/>
      <w:bookmarkEnd w:id="488"/>
      <w:r>
        <w:rPr>
          <w:rFonts w:hint="eastAsia"/>
          <w:color w:val="000000"/>
          <w:sz w:val="24"/>
          <w:szCs w:val="24"/>
        </w:rPr>
        <w:t>制</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pPr>
        <w:pStyle w:val="6"/>
        <w:numPr>
          <w:ilvl w:val="4"/>
          <w:numId w:val="23"/>
        </w:numPr>
        <w:tabs>
          <w:tab w:val="left" w:pos="432"/>
          <w:tab w:val="left" w:pos="720"/>
        </w:tabs>
        <w:spacing w:before="240" w:after="120"/>
        <w:ind w:left="2432" w:hanging="2432"/>
      </w:pPr>
      <w:bookmarkStart w:id="533" w:name="_Toc339019993"/>
      <w:bookmarkStart w:id="534" w:name="_Toc83905552"/>
      <w:bookmarkStart w:id="535" w:name="_Toc497224204"/>
      <w:bookmarkStart w:id="536" w:name="_Toc366072506"/>
      <w:bookmarkStart w:id="537" w:name="_Toc365985157"/>
      <w:bookmarkStart w:id="538" w:name="_Toc9943"/>
      <w:bookmarkStart w:id="539" w:name="_Toc332270324"/>
      <w:bookmarkStart w:id="540" w:name="_Toc374454578"/>
      <w:bookmarkStart w:id="541" w:name="_Toc112"/>
      <w:bookmarkStart w:id="542" w:name="_Toc49265615"/>
      <w:bookmarkStart w:id="543" w:name="_Toc349143567"/>
      <w:bookmarkStart w:id="544" w:name="_Toc330459963"/>
      <w:bookmarkStart w:id="545" w:name="_Toc333237655"/>
      <w:bookmarkStart w:id="546" w:name="_Toc339020211"/>
      <w:bookmarkStart w:id="547" w:name="_Toc365967051"/>
      <w:bookmarkStart w:id="548" w:name="_Toc345513845"/>
      <w:bookmarkStart w:id="549" w:name="_Toc340507420"/>
      <w:bookmarkStart w:id="550" w:name="_Toc341348316"/>
      <w:bookmarkStart w:id="551" w:name="_Toc331512876"/>
      <w:bookmarkStart w:id="552" w:name="_Toc350438727"/>
      <w:bookmarkStart w:id="553" w:name="_Toc340672847"/>
      <w:bookmarkStart w:id="554" w:name="_Toc336681558"/>
      <w:bookmarkStart w:id="555" w:name="_Toc20997"/>
      <w:bookmarkStart w:id="556" w:name="_Toc339362278"/>
      <w:bookmarkStart w:id="557" w:name="_Toc408126442"/>
      <w:bookmarkStart w:id="558" w:name="_Toc333237766"/>
      <w:bookmarkStart w:id="559" w:name="_Toc350756428"/>
      <w:bookmarkStart w:id="560" w:name="_Toc333935665"/>
      <w:bookmarkStart w:id="561" w:name="_Toc349127604"/>
      <w:bookmarkStart w:id="562" w:name="_Toc336681913"/>
      <w:bookmarkStart w:id="563" w:name="_Toc503785406"/>
      <w:bookmarkStart w:id="564" w:name="_Toc342060352"/>
      <w:bookmarkStart w:id="565" w:name="_Toc6243"/>
      <w:bookmarkStart w:id="566" w:name="_Toc10647"/>
      <w:bookmarkStart w:id="567" w:name="_Toc339020073"/>
      <w:bookmarkStart w:id="568" w:name="_Toc342296738"/>
      <w:bookmarkStart w:id="569" w:name="_Toc339019867"/>
      <w:bookmarkStart w:id="570" w:name="_Toc332206686"/>
      <w:bookmarkStart w:id="571" w:name="_Toc333935324"/>
      <w:bookmarkStart w:id="572" w:name="_Toc337632336"/>
      <w:bookmarkStart w:id="573" w:name="_Toc9357"/>
      <w:bookmarkStart w:id="574" w:name="_Toc339441065"/>
      <w:bookmarkStart w:id="575" w:name="_Toc340677048"/>
      <w:bookmarkStart w:id="576" w:name="_Toc333238611"/>
      <w:bookmarkStart w:id="577" w:name="_Toc7957"/>
      <w:bookmarkStart w:id="578" w:name="_Toc331684016"/>
      <w:r>
        <w:rPr>
          <w:rFonts w:hint="eastAsia"/>
        </w:rPr>
        <w:t>要求</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7</w:t>
      </w:r>
      <w:r>
        <w:rPr>
          <w:rFonts w:ascii="宋体"/>
          <w:bCs/>
          <w:color w:val="000000"/>
        </w:rPr>
        <w:t>.1</w:t>
      </w:r>
      <w:r>
        <w:rPr>
          <w:rFonts w:ascii="宋体"/>
          <w:bCs/>
          <w:color w:val="000000"/>
        </w:rPr>
        <w:tab/>
      </w:r>
      <w:r>
        <w:rPr>
          <w:rFonts w:hint="eastAsia" w:ascii="宋体"/>
          <w:bCs/>
          <w:color w:val="000000"/>
        </w:rPr>
        <w:t>供应商应仔细阅读招标文件的所有内容，按招标文件的要求编制投标文件，并保证所提供的全部资料的真实性，以使其投标对招标文件提出的要求和条件做出实质性响应，否则，其投标将作无效投标处理。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3"/>
        </w:numPr>
        <w:tabs>
          <w:tab w:val="left" w:pos="432"/>
          <w:tab w:val="left" w:pos="720"/>
        </w:tabs>
        <w:spacing w:before="240" w:after="120"/>
        <w:ind w:left="2432" w:hanging="2432"/>
      </w:pPr>
      <w:bookmarkStart w:id="579" w:name="_Toc336681559"/>
      <w:bookmarkStart w:id="580" w:name="_Toc337632337"/>
      <w:bookmarkStart w:id="581" w:name="_Toc332270325"/>
      <w:bookmarkStart w:id="582" w:name="_Toc342296739"/>
      <w:bookmarkStart w:id="583" w:name="_Toc366072507"/>
      <w:bookmarkStart w:id="584" w:name="_Toc12590"/>
      <w:bookmarkStart w:id="585" w:name="_Toc1406"/>
      <w:bookmarkStart w:id="586" w:name="_Toc365985158"/>
      <w:bookmarkStart w:id="587" w:name="_Toc345513846"/>
      <w:bookmarkStart w:id="588" w:name="_Toc339019868"/>
      <w:bookmarkStart w:id="589" w:name="_Toc31929"/>
      <w:bookmarkStart w:id="590" w:name="_Toc497224205"/>
      <w:bookmarkStart w:id="591" w:name="_Toc11254"/>
      <w:bookmarkStart w:id="592" w:name="_Toc349127605"/>
      <w:bookmarkStart w:id="593" w:name="_Toc340677049"/>
      <w:bookmarkStart w:id="594" w:name="_Toc340507421"/>
      <w:bookmarkStart w:id="595" w:name="_Toc339020074"/>
      <w:bookmarkStart w:id="596" w:name="_Toc339020212"/>
      <w:bookmarkStart w:id="597" w:name="_Toc16351"/>
      <w:bookmarkStart w:id="598" w:name="_Toc365967052"/>
      <w:bookmarkStart w:id="599" w:name="_Toc339019994"/>
      <w:bookmarkStart w:id="600" w:name="_Toc340672848"/>
      <w:bookmarkStart w:id="601" w:name="_Toc331684017"/>
      <w:bookmarkStart w:id="602" w:name="_Toc349143568"/>
      <w:bookmarkStart w:id="603" w:name="_Toc350438728"/>
      <w:bookmarkStart w:id="604" w:name="_Toc339441066"/>
      <w:bookmarkStart w:id="605" w:name="_Toc333237656"/>
      <w:bookmarkStart w:id="606" w:name="_Toc374454579"/>
      <w:bookmarkStart w:id="607" w:name="_Toc350756429"/>
      <w:bookmarkStart w:id="608" w:name="_Toc333935666"/>
      <w:bookmarkStart w:id="609" w:name="_Toc341348317"/>
      <w:bookmarkStart w:id="610" w:name="_Toc49265616"/>
      <w:bookmarkStart w:id="611" w:name="_Toc336681914"/>
      <w:bookmarkStart w:id="612" w:name="_Toc333237767"/>
      <w:bookmarkStart w:id="613" w:name="_Toc342060353"/>
      <w:bookmarkStart w:id="614" w:name="_Toc331512877"/>
      <w:bookmarkStart w:id="615" w:name="_Toc333935325"/>
      <w:bookmarkStart w:id="616" w:name="_Toc83905553"/>
      <w:bookmarkStart w:id="617" w:name="_Toc333238612"/>
      <w:bookmarkStart w:id="618" w:name="_Toc330459964"/>
      <w:bookmarkStart w:id="619" w:name="_Toc408126443"/>
      <w:bookmarkStart w:id="620" w:name="_Toc339362279"/>
      <w:bookmarkStart w:id="621" w:name="_Toc24325"/>
      <w:bookmarkStart w:id="622" w:name="_Toc20229"/>
      <w:bookmarkStart w:id="623" w:name="_Toc503785407"/>
      <w:bookmarkStart w:id="624" w:name="_Toc332206687"/>
      <w:r>
        <w:rPr>
          <w:rFonts w:hint="eastAsia"/>
        </w:rPr>
        <w:t>投标语言及计量单位</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.1</w:t>
      </w:r>
      <w:r>
        <w:rPr>
          <w:rFonts w:ascii="宋体"/>
          <w:bCs/>
          <w:color w:val="000000"/>
        </w:rPr>
        <w:tab/>
      </w:r>
      <w:r>
        <w:rPr>
          <w:rFonts w:hint="eastAsia" w:ascii="宋体"/>
          <w:bCs/>
          <w:color w:val="000000"/>
        </w:rPr>
        <w:t>供应商提交的投标文件（包括资格证明文件）以及供应商与集中采购机构就有关投标的所有往来函电均应使用中文。供应商可以提交用其它语言打印的资料，但有关段落必须译成中文。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.2</w:t>
      </w:r>
      <w:r>
        <w:rPr>
          <w:rFonts w:ascii="宋体"/>
          <w:bCs/>
          <w:color w:val="000000"/>
        </w:rPr>
        <w:tab/>
      </w:r>
      <w:r>
        <w:rPr>
          <w:rFonts w:hint="eastAsia" w:ascii="宋体"/>
          <w:bCs/>
          <w:color w:val="000000"/>
        </w:rPr>
        <w:t>除在招标文件的技术规格中另有规定外，计量单位应使用中华人民共和国法定计量单位</w:t>
      </w:r>
      <w:r>
        <w:rPr>
          <w:rFonts w:hint="eastAsia"/>
          <w:bCs/>
          <w:color w:val="000000"/>
        </w:rPr>
        <w:t>（国际单位制和国家选定的其他计量单位）</w:t>
      </w:r>
      <w:r>
        <w:rPr>
          <w:rFonts w:hint="eastAsia" w:ascii="宋体"/>
          <w:bCs/>
          <w:color w:val="000000"/>
        </w:rPr>
        <w:t>。</w:t>
      </w:r>
    </w:p>
    <w:p>
      <w:pPr>
        <w:pStyle w:val="6"/>
        <w:numPr>
          <w:ilvl w:val="4"/>
          <w:numId w:val="23"/>
        </w:numPr>
        <w:tabs>
          <w:tab w:val="left" w:pos="432"/>
          <w:tab w:val="left" w:pos="720"/>
        </w:tabs>
        <w:spacing w:before="240" w:after="120"/>
        <w:ind w:left="2432" w:hanging="2432"/>
      </w:pPr>
      <w:bookmarkStart w:id="625" w:name="_Toc19360"/>
      <w:bookmarkStart w:id="626" w:name="_Toc349143569"/>
      <w:bookmarkStart w:id="627" w:name="_Toc342060354"/>
      <w:bookmarkStart w:id="628" w:name="_Toc345513847"/>
      <w:bookmarkStart w:id="629" w:name="_Toc341348318"/>
      <w:bookmarkStart w:id="630" w:name="_Toc340677050"/>
      <w:bookmarkStart w:id="631" w:name="_Toc4302"/>
      <w:bookmarkStart w:id="632" w:name="_Toc408126444"/>
      <w:bookmarkStart w:id="633" w:name="_Toc339362280"/>
      <w:bookmarkStart w:id="634" w:name="_Toc83905554"/>
      <w:bookmarkStart w:id="635" w:name="_Toc333238613"/>
      <w:bookmarkStart w:id="636" w:name="_Toc333935667"/>
      <w:bookmarkStart w:id="637" w:name="_Toc340672849"/>
      <w:bookmarkStart w:id="638" w:name="_Toc339441067"/>
      <w:bookmarkStart w:id="639" w:name="_Toc366072508"/>
      <w:bookmarkStart w:id="640" w:name="_Toc503785408"/>
      <w:bookmarkStart w:id="641" w:name="_Toc333935326"/>
      <w:bookmarkStart w:id="642" w:name="_Toc49265617"/>
      <w:bookmarkStart w:id="643" w:name="_Toc337632338"/>
      <w:bookmarkStart w:id="644" w:name="_Toc374454580"/>
      <w:bookmarkStart w:id="645" w:name="_Toc336681560"/>
      <w:bookmarkStart w:id="646" w:name="_Toc339020213"/>
      <w:bookmarkStart w:id="647" w:name="_Toc27402"/>
      <w:bookmarkStart w:id="648" w:name="_Toc7547"/>
      <w:bookmarkStart w:id="649" w:name="_Toc333237768"/>
      <w:bookmarkStart w:id="650" w:name="_Toc340507422"/>
      <w:bookmarkStart w:id="651" w:name="_Toc365985159"/>
      <w:bookmarkStart w:id="652" w:name="_Toc331512878"/>
      <w:bookmarkStart w:id="653" w:name="_Toc8915"/>
      <w:bookmarkStart w:id="654" w:name="_Toc339019869"/>
      <w:bookmarkStart w:id="655" w:name="_Toc350438729"/>
      <w:bookmarkStart w:id="656" w:name="_Toc333237657"/>
      <w:bookmarkStart w:id="657" w:name="_Toc339019995"/>
      <w:bookmarkStart w:id="658" w:name="_Toc497224206"/>
      <w:bookmarkStart w:id="659" w:name="_Toc332206688"/>
      <w:bookmarkStart w:id="660" w:name="_Toc365967053"/>
      <w:bookmarkStart w:id="661" w:name="_Toc24357"/>
      <w:bookmarkStart w:id="662" w:name="_Toc331684018"/>
      <w:bookmarkStart w:id="663" w:name="_Toc332270326"/>
      <w:bookmarkStart w:id="664" w:name="_Toc349127606"/>
      <w:bookmarkStart w:id="665" w:name="_Toc28037"/>
      <w:bookmarkStart w:id="666" w:name="_Toc330459965"/>
      <w:bookmarkStart w:id="667" w:name="_Toc350756430"/>
      <w:bookmarkStart w:id="668" w:name="_Toc339020075"/>
      <w:bookmarkStart w:id="669" w:name="_Toc342296740"/>
      <w:bookmarkStart w:id="670" w:name="_Toc336681915"/>
      <w:r>
        <w:rPr>
          <w:rFonts w:hint="eastAsia"/>
        </w:rPr>
        <w:t>投标文件的构成</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widowControl/>
        <w:tabs>
          <w:tab w:val="left" w:pos="753"/>
        </w:tabs>
        <w:adjustRightInd w:val="0"/>
        <w:snapToGrid w:val="0"/>
        <w:spacing w:line="360" w:lineRule="auto"/>
        <w:rPr>
          <w:rFonts w:ascii="宋体"/>
          <w:bCs/>
          <w:color w:val="000000"/>
        </w:rPr>
      </w:pPr>
      <w:r>
        <w:rPr>
          <w:rFonts w:hint="eastAsia" w:ascii="宋体"/>
          <w:bCs/>
          <w:color w:val="000000"/>
        </w:rPr>
        <w:t>9</w:t>
      </w:r>
      <w:r>
        <w:rPr>
          <w:rFonts w:ascii="宋体"/>
          <w:bCs/>
          <w:color w:val="000000"/>
        </w:rPr>
        <w:t>.1</w:t>
      </w:r>
      <w:r>
        <w:rPr>
          <w:rFonts w:hint="eastAsia" w:ascii="宋体"/>
          <w:bCs/>
          <w:color w:val="000000"/>
        </w:rPr>
        <w:t xml:space="preserve">   投标文件包括：</w:t>
      </w:r>
    </w:p>
    <w:p>
      <w:pPr>
        <w:widowControl/>
        <w:adjustRightInd w:val="0"/>
        <w:snapToGrid w:val="0"/>
        <w:spacing w:line="360" w:lineRule="auto"/>
        <w:ind w:left="734"/>
        <w:rPr>
          <w:rFonts w:ascii="宋体" w:hAnsi="宋体"/>
          <w:bCs/>
          <w:color w:val="000000"/>
        </w:rPr>
      </w:pPr>
      <w:bookmarkStart w:id="671" w:name="_Toc503785409"/>
      <w:bookmarkStart w:id="672" w:name="_Toc497224207"/>
      <w:r>
        <w:rPr>
          <w:rFonts w:hint="eastAsia" w:ascii="宋体" w:hAnsi="宋体"/>
          <w:bCs/>
          <w:color w:val="000000"/>
        </w:rPr>
        <w:t>第一章 资格审查文件（含附件）</w:t>
      </w:r>
    </w:p>
    <w:p>
      <w:pPr>
        <w:widowControl/>
        <w:adjustRightInd w:val="0"/>
        <w:snapToGrid w:val="0"/>
        <w:spacing w:line="360" w:lineRule="auto"/>
        <w:ind w:left="734"/>
        <w:rPr>
          <w:rFonts w:ascii="宋体" w:hAnsi="宋体"/>
          <w:bCs/>
          <w:color w:val="000000"/>
        </w:rPr>
      </w:pPr>
      <w:r>
        <w:rPr>
          <w:rFonts w:hint="eastAsia" w:ascii="宋体" w:hAnsi="宋体"/>
          <w:bCs/>
          <w:color w:val="000000"/>
        </w:rPr>
        <w:t>第二章 商务和技术部分</w:t>
      </w:r>
    </w:p>
    <w:p>
      <w:pPr>
        <w:widowControl/>
        <w:numPr>
          <w:ilvl w:val="0"/>
          <w:numId w:val="26"/>
        </w:numPr>
        <w:adjustRightInd w:val="0"/>
        <w:snapToGrid w:val="0"/>
        <w:spacing w:line="360" w:lineRule="auto"/>
        <w:rPr>
          <w:rFonts w:ascii="宋体" w:hAnsi="宋体"/>
          <w:bCs/>
          <w:color w:val="000000"/>
        </w:rPr>
      </w:pPr>
      <w:r>
        <w:rPr>
          <w:rFonts w:hint="eastAsia" w:ascii="宋体" w:hAnsi="宋体"/>
          <w:bCs/>
          <w:color w:val="000000"/>
        </w:rPr>
        <w:t>投标函；</w:t>
      </w:r>
    </w:p>
    <w:p>
      <w:pPr>
        <w:widowControl/>
        <w:numPr>
          <w:ilvl w:val="0"/>
          <w:numId w:val="26"/>
        </w:numPr>
        <w:adjustRightInd w:val="0"/>
        <w:snapToGrid w:val="0"/>
        <w:spacing w:line="360" w:lineRule="auto"/>
        <w:rPr>
          <w:rFonts w:ascii="宋体" w:hAnsi="宋体"/>
          <w:bCs/>
          <w:color w:val="000000"/>
        </w:rPr>
      </w:pPr>
      <w:r>
        <w:rPr>
          <w:rFonts w:hint="eastAsia" w:ascii="宋体" w:hAnsi="宋体"/>
          <w:bCs/>
          <w:color w:val="000000"/>
        </w:rPr>
        <w:t>开标一览表；</w:t>
      </w:r>
    </w:p>
    <w:p>
      <w:pPr>
        <w:widowControl/>
        <w:numPr>
          <w:ilvl w:val="0"/>
          <w:numId w:val="26"/>
        </w:numPr>
        <w:adjustRightInd w:val="0"/>
        <w:snapToGrid w:val="0"/>
        <w:spacing w:line="360" w:lineRule="auto"/>
        <w:rPr>
          <w:rFonts w:ascii="宋体" w:hAnsi="宋体"/>
          <w:bCs/>
          <w:color w:val="000000"/>
        </w:rPr>
      </w:pPr>
      <w:r>
        <w:rPr>
          <w:rFonts w:hint="eastAsia" w:ascii="宋体" w:hAnsi="宋体"/>
          <w:bCs/>
          <w:color w:val="000000"/>
        </w:rPr>
        <w:t>投标分项报价表；</w:t>
      </w:r>
    </w:p>
    <w:p>
      <w:pPr>
        <w:widowControl/>
        <w:numPr>
          <w:ilvl w:val="0"/>
          <w:numId w:val="26"/>
        </w:numPr>
        <w:adjustRightInd w:val="0"/>
        <w:snapToGrid w:val="0"/>
        <w:spacing w:line="360" w:lineRule="auto"/>
        <w:rPr>
          <w:color w:val="000000"/>
        </w:rPr>
      </w:pPr>
      <w:r>
        <w:rPr>
          <w:rFonts w:hint="eastAsia" w:ascii="宋体" w:hAnsi="宋体"/>
          <w:bCs/>
          <w:color w:val="000000"/>
        </w:rPr>
        <w:t>商务条款</w:t>
      </w:r>
      <w:r>
        <w:rPr>
          <w:rFonts w:hint="eastAsia"/>
          <w:color w:val="000000"/>
        </w:rPr>
        <w:t>偏离一览表；</w:t>
      </w:r>
    </w:p>
    <w:p>
      <w:pPr>
        <w:widowControl/>
        <w:numPr>
          <w:ilvl w:val="0"/>
          <w:numId w:val="26"/>
        </w:numPr>
        <w:adjustRightInd w:val="0"/>
        <w:snapToGrid w:val="0"/>
        <w:spacing w:line="360" w:lineRule="auto"/>
        <w:rPr>
          <w:color w:val="000000"/>
        </w:rPr>
      </w:pPr>
      <w:r>
        <w:rPr>
          <w:rFonts w:hint="eastAsia"/>
          <w:color w:val="000000"/>
        </w:rPr>
        <w:t>技术条款偏离一览表；</w:t>
      </w:r>
    </w:p>
    <w:p>
      <w:pPr>
        <w:widowControl/>
        <w:numPr>
          <w:ilvl w:val="0"/>
          <w:numId w:val="26"/>
        </w:numPr>
        <w:adjustRightInd w:val="0"/>
        <w:snapToGrid w:val="0"/>
        <w:spacing w:line="360" w:lineRule="auto"/>
        <w:rPr>
          <w:color w:val="000000"/>
        </w:rPr>
      </w:pPr>
      <w:r>
        <w:rPr>
          <w:rFonts w:hint="eastAsia"/>
          <w:color w:val="000000"/>
        </w:rPr>
        <w:t>售后服务方案；</w:t>
      </w:r>
    </w:p>
    <w:p>
      <w:pPr>
        <w:widowControl/>
        <w:numPr>
          <w:ilvl w:val="0"/>
          <w:numId w:val="26"/>
        </w:numPr>
        <w:adjustRightInd w:val="0"/>
        <w:snapToGrid w:val="0"/>
        <w:spacing w:line="360" w:lineRule="auto"/>
        <w:rPr>
          <w:color w:val="000000"/>
        </w:rPr>
      </w:pPr>
      <w:r>
        <w:rPr>
          <w:rFonts w:hint="eastAsia"/>
          <w:color w:val="000000"/>
        </w:rPr>
        <w:t>中小微企业声明函；</w:t>
      </w:r>
    </w:p>
    <w:p>
      <w:pPr>
        <w:widowControl/>
        <w:numPr>
          <w:ilvl w:val="0"/>
          <w:numId w:val="26"/>
        </w:numPr>
        <w:adjustRightInd w:val="0"/>
        <w:snapToGrid w:val="0"/>
        <w:spacing w:line="360" w:lineRule="auto"/>
        <w:rPr>
          <w:color w:val="000000"/>
        </w:rPr>
      </w:pPr>
      <w:r>
        <w:rPr>
          <w:rFonts w:hint="eastAsia"/>
          <w:color w:val="000000"/>
        </w:rPr>
        <w:t>业绩一览表；</w:t>
      </w:r>
    </w:p>
    <w:p>
      <w:pPr>
        <w:widowControl/>
        <w:numPr>
          <w:ilvl w:val="0"/>
          <w:numId w:val="26"/>
        </w:numPr>
        <w:adjustRightInd w:val="0"/>
        <w:snapToGrid w:val="0"/>
        <w:spacing w:line="360" w:lineRule="auto"/>
        <w:rPr>
          <w:color w:val="000000"/>
        </w:rPr>
      </w:pPr>
      <w:r>
        <w:rPr>
          <w:rFonts w:hint="eastAsia"/>
          <w:color w:val="000000"/>
        </w:rPr>
        <w:t>供应商提交的其它商务和技术资料。</w:t>
      </w:r>
    </w:p>
    <w:p>
      <w:pPr>
        <w:pStyle w:val="6"/>
        <w:numPr>
          <w:ilvl w:val="4"/>
          <w:numId w:val="23"/>
        </w:numPr>
        <w:tabs>
          <w:tab w:val="left" w:pos="432"/>
          <w:tab w:val="left" w:pos="720"/>
        </w:tabs>
        <w:spacing w:before="240" w:after="120"/>
        <w:ind w:left="2432" w:hanging="2432"/>
      </w:pPr>
      <w:bookmarkStart w:id="673" w:name="_Toc339020214"/>
      <w:bookmarkStart w:id="674" w:name="_Toc366072509"/>
      <w:bookmarkStart w:id="675" w:name="_Toc49265618"/>
      <w:bookmarkStart w:id="676" w:name="_Toc17443"/>
      <w:bookmarkStart w:id="677" w:name="_Toc342296741"/>
      <w:bookmarkStart w:id="678" w:name="_Toc341348319"/>
      <w:bookmarkStart w:id="679" w:name="_Toc17594"/>
      <w:bookmarkStart w:id="680" w:name="_Toc333237769"/>
      <w:bookmarkStart w:id="681" w:name="_Toc339019996"/>
      <w:bookmarkStart w:id="682" w:name="_Toc350438730"/>
      <w:bookmarkStart w:id="683" w:name="_Toc339362281"/>
      <w:bookmarkStart w:id="684" w:name="_Toc332270327"/>
      <w:bookmarkStart w:id="685" w:name="_Toc345513848"/>
      <w:bookmarkStart w:id="686" w:name="_Toc349127607"/>
      <w:bookmarkStart w:id="687" w:name="_Toc339441068"/>
      <w:bookmarkStart w:id="688" w:name="_Toc374454581"/>
      <w:bookmarkStart w:id="689" w:name="_Toc19674"/>
      <w:bookmarkStart w:id="690" w:name="_Toc336681916"/>
      <w:bookmarkStart w:id="691" w:name="_Toc339019870"/>
      <w:bookmarkStart w:id="692" w:name="_Toc333237658"/>
      <w:bookmarkStart w:id="693" w:name="_Toc8001"/>
      <w:bookmarkStart w:id="694" w:name="_Toc340672850"/>
      <w:bookmarkStart w:id="695" w:name="_Toc365967054"/>
      <w:bookmarkStart w:id="696" w:name="_Toc408126445"/>
      <w:bookmarkStart w:id="697" w:name="_Toc337632339"/>
      <w:bookmarkStart w:id="698" w:name="_Toc339020076"/>
      <w:bookmarkStart w:id="699" w:name="_Toc333238614"/>
      <w:bookmarkStart w:id="700" w:name="_Toc331684019"/>
      <w:bookmarkStart w:id="701" w:name="_Toc365985160"/>
      <w:bookmarkStart w:id="702" w:name="_Toc83905555"/>
      <w:bookmarkStart w:id="703" w:name="_Toc3811"/>
      <w:bookmarkStart w:id="704" w:name="_Toc331512879"/>
      <w:bookmarkStart w:id="705" w:name="_Toc349143570"/>
      <w:bookmarkStart w:id="706" w:name="_Toc340507423"/>
      <w:bookmarkStart w:id="707" w:name="_Toc342060355"/>
      <w:bookmarkStart w:id="708" w:name="_Toc333935668"/>
      <w:bookmarkStart w:id="709" w:name="_Toc336681561"/>
      <w:bookmarkStart w:id="710" w:name="_Toc333935327"/>
      <w:bookmarkStart w:id="711" w:name="_Toc340677051"/>
      <w:bookmarkStart w:id="712" w:name="_Toc332206689"/>
      <w:bookmarkStart w:id="713" w:name="_Toc5485"/>
      <w:bookmarkStart w:id="714" w:name="_Toc330459966"/>
      <w:bookmarkStart w:id="715" w:name="_Toc24806"/>
      <w:bookmarkStart w:id="716" w:name="_Toc350756431"/>
      <w:r>
        <w:rPr>
          <w:rFonts w:hint="eastAsia"/>
        </w:rPr>
        <w:t>投标文件格式</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widowControl/>
        <w:tabs>
          <w:tab w:val="left" w:pos="753"/>
        </w:tabs>
        <w:adjustRightInd w:val="0"/>
        <w:snapToGrid w:val="0"/>
        <w:spacing w:before="240" w:line="360" w:lineRule="auto"/>
        <w:ind w:left="752" w:hanging="751" w:hangingChars="358"/>
        <w:rPr>
          <w:rFonts w:ascii="宋体" w:hAnsi="宋体"/>
          <w:bCs/>
          <w:color w:val="000000"/>
        </w:rPr>
      </w:pPr>
      <w:r>
        <w:rPr>
          <w:rFonts w:ascii="宋体"/>
          <w:bCs/>
          <w:color w:val="000000"/>
        </w:rPr>
        <w:t>1</w:t>
      </w:r>
      <w:r>
        <w:rPr>
          <w:rFonts w:hint="eastAsia" w:ascii="宋体"/>
          <w:bCs/>
          <w:color w:val="000000"/>
        </w:rPr>
        <w:t>0</w:t>
      </w:r>
      <w:r>
        <w:rPr>
          <w:rFonts w:ascii="宋体"/>
          <w:bCs/>
          <w:color w:val="000000"/>
        </w:rPr>
        <w:t>.1</w:t>
      </w:r>
      <w:r>
        <w:rPr>
          <w:rFonts w:ascii="宋体"/>
          <w:bCs/>
          <w:color w:val="000000"/>
        </w:rPr>
        <w:tab/>
      </w:r>
      <w:r>
        <w:rPr>
          <w:rFonts w:hint="eastAsia" w:ascii="宋体"/>
          <w:bCs/>
          <w:color w:val="000000"/>
        </w:rPr>
        <w:t>供应商应</w:t>
      </w:r>
      <w:r>
        <w:rPr>
          <w:rFonts w:hint="eastAsia" w:ascii="宋体" w:hAnsi="宋体"/>
          <w:bCs/>
          <w:color w:val="000000"/>
        </w:rPr>
        <w:t>按照招标文件中提供的投标文件格式编制投标文件（详见第五部分），投标文件内统一用白色A4复印纸黑色字体打印，并胶装书状成册。</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10.2 </w:t>
      </w:r>
      <w:r>
        <w:rPr>
          <w:rFonts w:hint="eastAsia" w:ascii="宋体" w:hAnsi="宋体"/>
          <w:bCs/>
          <w:color w:val="000000"/>
        </w:rPr>
        <w:tab/>
      </w:r>
      <w:r>
        <w:rPr>
          <w:rFonts w:hint="eastAsia" w:ascii="宋体" w:hAnsi="宋体"/>
          <w:bCs/>
          <w:color w:val="000000"/>
        </w:rPr>
        <w:tab/>
      </w:r>
      <w:r>
        <w:rPr>
          <w:rFonts w:hint="eastAsia" w:ascii="宋体" w:hAnsi="宋体"/>
          <w:bCs/>
          <w:color w:val="000000"/>
        </w:rPr>
        <w:t>供应商应完整地填写招标文件提供的投标函、开标一览表等表格，表明所提供的货物、货物简介（含技术参数）、数量和价格。</w:t>
      </w:r>
    </w:p>
    <w:p>
      <w:pPr>
        <w:pStyle w:val="6"/>
        <w:numPr>
          <w:ilvl w:val="4"/>
          <w:numId w:val="23"/>
        </w:numPr>
        <w:tabs>
          <w:tab w:val="left" w:pos="432"/>
          <w:tab w:val="left" w:pos="720"/>
        </w:tabs>
        <w:spacing w:before="240" w:after="120"/>
        <w:ind w:left="2432" w:hanging="2432"/>
      </w:pPr>
      <w:bookmarkStart w:id="717" w:name="_Toc339441069"/>
      <w:bookmarkStart w:id="718" w:name="_Toc49265619"/>
      <w:bookmarkStart w:id="719" w:name="_Toc340507424"/>
      <w:bookmarkStart w:id="720" w:name="_Toc330459967"/>
      <w:bookmarkStart w:id="721" w:name="_Toc366072510"/>
      <w:bookmarkStart w:id="722" w:name="_Toc333935669"/>
      <w:bookmarkStart w:id="723" w:name="_Toc333237659"/>
      <w:bookmarkStart w:id="724" w:name="_Toc345513849"/>
      <w:bookmarkStart w:id="725" w:name="_Toc16100"/>
      <w:bookmarkStart w:id="726" w:name="_Toc349143571"/>
      <w:bookmarkStart w:id="727" w:name="_Toc341348320"/>
      <w:bookmarkStart w:id="728" w:name="_Toc350438731"/>
      <w:bookmarkStart w:id="729" w:name="_Toc339019871"/>
      <w:bookmarkStart w:id="730" w:name="_Toc83905556"/>
      <w:bookmarkStart w:id="731" w:name="_Toc12636"/>
      <w:bookmarkStart w:id="732" w:name="_Toc333238615"/>
      <w:bookmarkStart w:id="733" w:name="_Toc3990"/>
      <w:bookmarkStart w:id="734" w:name="_Toc333935328"/>
      <w:bookmarkStart w:id="735" w:name="_Toc332270328"/>
      <w:bookmarkStart w:id="736" w:name="_Toc349127608"/>
      <w:bookmarkStart w:id="737" w:name="_Toc339020077"/>
      <w:bookmarkStart w:id="738" w:name="_Toc342060356"/>
      <w:bookmarkStart w:id="739" w:name="_Toc408126446"/>
      <w:bookmarkStart w:id="740" w:name="_Toc350756432"/>
      <w:bookmarkStart w:id="741" w:name="_Toc8480"/>
      <w:bookmarkStart w:id="742" w:name="_Toc340672851"/>
      <w:bookmarkStart w:id="743" w:name="_Toc31918"/>
      <w:bookmarkStart w:id="744" w:name="_Toc331684020"/>
      <w:bookmarkStart w:id="745" w:name="_Toc5003680"/>
      <w:bookmarkStart w:id="746" w:name="_Toc332206690"/>
      <w:bookmarkStart w:id="747" w:name="_Toc336681562"/>
      <w:bookmarkStart w:id="748" w:name="_Toc365985161"/>
      <w:bookmarkStart w:id="749" w:name="_Toc339362282"/>
      <w:bookmarkStart w:id="750" w:name="_Toc333237770"/>
      <w:bookmarkStart w:id="751" w:name="_Toc342296742"/>
      <w:bookmarkStart w:id="752" w:name="_Toc331512880"/>
      <w:bookmarkStart w:id="753" w:name="_Toc339020215"/>
      <w:bookmarkStart w:id="754" w:name="_Toc336681917"/>
      <w:bookmarkStart w:id="755" w:name="_Toc337632340"/>
      <w:bookmarkStart w:id="756" w:name="_Toc339019997"/>
      <w:bookmarkStart w:id="757" w:name="_Toc19628"/>
      <w:bookmarkStart w:id="758" w:name="_Toc15651"/>
      <w:bookmarkStart w:id="759" w:name="_Toc374454582"/>
      <w:bookmarkStart w:id="760" w:name="_Toc365967055"/>
      <w:bookmarkStart w:id="761" w:name="_Toc340677052"/>
      <w:r>
        <w:rPr>
          <w:rFonts w:hint="eastAsia"/>
        </w:rPr>
        <w:t>资格证明文件</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11.1 </w:t>
      </w:r>
      <w:r>
        <w:rPr>
          <w:rFonts w:hint="eastAsia" w:ascii="宋体" w:hAnsi="宋体"/>
          <w:bCs/>
          <w:color w:val="000000"/>
        </w:rPr>
        <w:tab/>
      </w:r>
      <w:r>
        <w:rPr>
          <w:rFonts w:hint="eastAsia" w:ascii="宋体" w:hAnsi="宋体"/>
          <w:bCs/>
          <w:color w:val="000000"/>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3"/>
        </w:numPr>
        <w:tabs>
          <w:tab w:val="left" w:pos="432"/>
          <w:tab w:val="left" w:pos="720"/>
        </w:tabs>
        <w:spacing w:before="240" w:after="120"/>
        <w:ind w:left="2432" w:hanging="2432"/>
      </w:pPr>
      <w:bookmarkStart w:id="762" w:name="_Toc339020216"/>
      <w:bookmarkStart w:id="763" w:name="_Toc374454583"/>
      <w:bookmarkStart w:id="764" w:name="_Toc339362283"/>
      <w:bookmarkStart w:id="765" w:name="_Toc336681918"/>
      <w:bookmarkStart w:id="766" w:name="_Toc366072511"/>
      <w:bookmarkStart w:id="767" w:name="_Toc330459968"/>
      <w:bookmarkStart w:id="768" w:name="_Toc342060357"/>
      <w:bookmarkStart w:id="769" w:name="_Toc365985162"/>
      <w:bookmarkStart w:id="770" w:name="_Toc350756433"/>
      <w:bookmarkStart w:id="771" w:name="_Toc339019998"/>
      <w:bookmarkStart w:id="772" w:name="_Toc29567"/>
      <w:bookmarkStart w:id="773" w:name="_Toc349127609"/>
      <w:bookmarkStart w:id="774" w:name="_Toc24569"/>
      <w:bookmarkStart w:id="775" w:name="_Toc341348321"/>
      <w:bookmarkStart w:id="776" w:name="_Toc337632341"/>
      <w:bookmarkStart w:id="777" w:name="_Toc333237771"/>
      <w:bookmarkStart w:id="778" w:name="_Toc331684021"/>
      <w:bookmarkStart w:id="779" w:name="_Toc339019872"/>
      <w:bookmarkStart w:id="780" w:name="_Toc333238616"/>
      <w:bookmarkStart w:id="781" w:name="_Toc10079"/>
      <w:bookmarkStart w:id="782" w:name="_Toc340507425"/>
      <w:bookmarkStart w:id="783" w:name="_Toc339441070"/>
      <w:bookmarkStart w:id="784" w:name="_Toc349143572"/>
      <w:bookmarkStart w:id="785" w:name="_Toc350438732"/>
      <w:bookmarkStart w:id="786" w:name="_Toc30626"/>
      <w:bookmarkStart w:id="787" w:name="_Toc5003681"/>
      <w:bookmarkStart w:id="788" w:name="_Toc333237660"/>
      <w:bookmarkStart w:id="789" w:name="_Toc345513850"/>
      <w:bookmarkStart w:id="790" w:name="_Toc332270329"/>
      <w:bookmarkStart w:id="791" w:name="_Toc342296743"/>
      <w:bookmarkStart w:id="792" w:name="_Toc340677053"/>
      <w:bookmarkStart w:id="793" w:name="_Toc333935329"/>
      <w:bookmarkStart w:id="794" w:name="_Toc339020078"/>
      <w:bookmarkStart w:id="795" w:name="_Toc5487"/>
      <w:bookmarkStart w:id="796" w:name="_Toc25710"/>
      <w:bookmarkStart w:id="797" w:name="_Toc336681563"/>
      <w:bookmarkStart w:id="798" w:name="_Toc331512881"/>
      <w:bookmarkStart w:id="799" w:name="_Toc365967056"/>
      <w:bookmarkStart w:id="800" w:name="_Toc332206691"/>
      <w:bookmarkStart w:id="801" w:name="_Toc340672852"/>
      <w:bookmarkStart w:id="802" w:name="_Toc83905557"/>
      <w:bookmarkStart w:id="803" w:name="_Toc8048"/>
      <w:bookmarkStart w:id="804" w:name="_Toc49265620"/>
      <w:bookmarkStart w:id="805" w:name="_Toc333935670"/>
      <w:bookmarkStart w:id="806" w:name="_Toc408126447"/>
      <w:r>
        <w:rPr>
          <w:rFonts w:hint="eastAsia"/>
        </w:rPr>
        <w:t>货物和服务的证明文件</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12.1</w:t>
      </w:r>
      <w:r>
        <w:rPr>
          <w:rFonts w:hint="eastAsia" w:ascii="宋体" w:hAnsi="宋体"/>
          <w:bCs/>
          <w:color w:val="000000"/>
        </w:rPr>
        <w:tab/>
      </w:r>
      <w:r>
        <w:rPr>
          <w:rFonts w:hint="eastAsia" w:ascii="宋体" w:hAnsi="宋体"/>
          <w:bCs/>
          <w:color w:val="000000"/>
        </w:rPr>
        <w:t>供应商应提交其拟供的合同项下的货物和服务的合格性符合招标文件规定的证明文件，并作为其投标文件的一部分。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12.2</w:t>
      </w:r>
      <w:r>
        <w:rPr>
          <w:rFonts w:hint="eastAsia" w:ascii="宋体" w:hAnsi="宋体"/>
          <w:bCs/>
          <w:color w:val="000000"/>
        </w:rPr>
        <w:tab/>
      </w:r>
      <w:r>
        <w:rPr>
          <w:rFonts w:hint="eastAsia" w:ascii="宋体" w:hAnsi="宋体"/>
          <w:bCs/>
          <w:color w:val="000000"/>
        </w:rPr>
        <w:t>证明货物和服务与招标文件的要求相一致的文件，它可以是文字资料、图纸、手册和数据，包括：</w:t>
      </w:r>
    </w:p>
    <w:p>
      <w:pPr>
        <w:numPr>
          <w:ilvl w:val="5"/>
          <w:numId w:val="23"/>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货物主要技术指标和性能的详细说明。</w:t>
      </w:r>
    </w:p>
    <w:p>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货物从采购人开始使用至招标要求中规定的周期内正常、连续地使用所必须的备件和专用工具清单，包括备件和专用工具的货源及现行价格。</w:t>
      </w:r>
    </w:p>
    <w:p>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对照招标文件技术规格，逐条说明所提供货物和服务已对采购人的技术规格做出了实质性的响应，或申明与技术规格条文的偏差和例外。特别对于有具体参数要求的指标，供应商必须提供所投设备的具体参数值。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rPr>
      </w:pPr>
      <w:r>
        <w:rPr>
          <w:rFonts w:hint="eastAsia" w:ascii="宋体" w:hAnsi="宋体"/>
          <w:bCs/>
          <w:color w:val="000000"/>
        </w:rPr>
        <w:t>12.3</w:t>
      </w:r>
      <w:r>
        <w:rPr>
          <w:rFonts w:hint="eastAsia" w:ascii="宋体" w:hAnsi="宋体"/>
          <w:bCs/>
          <w:color w:val="000000"/>
        </w:rPr>
        <w:tab/>
      </w:r>
      <w:r>
        <w:rPr>
          <w:rFonts w:hint="eastAsia"/>
          <w:color w:val="000000"/>
        </w:rPr>
        <w:t>供应商在阐述上述第</w:t>
      </w:r>
      <w:r>
        <w:rPr>
          <w:rFonts w:hint="eastAsia" w:ascii="宋体" w:hAnsi="宋体"/>
          <w:color w:val="000000"/>
        </w:rPr>
        <w:t>12.2（3）</w:t>
      </w:r>
      <w:r>
        <w:rPr>
          <w:rFonts w:hint="eastAsia"/>
          <w:color w:val="000000"/>
        </w:rPr>
        <w:t>时应注意买方在技术规格中指出的工艺、材料和设备的标准以及参照的牌号或分类号仅起说明作用，并没有任何限制性。供应商在投标中可以选用替代标准、牌号或分类号，但这些替代要实质上相当于技术规格的要求，并且得到评标委员会的认可。</w:t>
      </w:r>
    </w:p>
    <w:p>
      <w:pPr>
        <w:pStyle w:val="6"/>
        <w:numPr>
          <w:ilvl w:val="4"/>
          <w:numId w:val="23"/>
        </w:numPr>
        <w:tabs>
          <w:tab w:val="left" w:pos="432"/>
          <w:tab w:val="left" w:pos="720"/>
        </w:tabs>
        <w:spacing w:before="240" w:after="120"/>
        <w:ind w:left="2432" w:hanging="2432"/>
      </w:pPr>
      <w:bookmarkStart w:id="807" w:name="_Toc332206692"/>
      <w:bookmarkStart w:id="808" w:name="_Toc331512882"/>
      <w:bookmarkStart w:id="809" w:name="_Toc19763"/>
      <w:bookmarkStart w:id="810" w:name="_Toc336681919"/>
      <w:bookmarkStart w:id="811" w:name="_Toc339362284"/>
      <w:bookmarkStart w:id="812" w:name="_Toc333935671"/>
      <w:bookmarkStart w:id="813" w:name="_Toc341348322"/>
      <w:bookmarkStart w:id="814" w:name="_Toc340672853"/>
      <w:bookmarkStart w:id="815" w:name="_Toc349143573"/>
      <w:bookmarkStart w:id="816" w:name="_Toc83905558"/>
      <w:bookmarkStart w:id="817" w:name="_Toc10846"/>
      <w:bookmarkStart w:id="818" w:name="_Toc49265621"/>
      <w:bookmarkStart w:id="819" w:name="_Toc350438733"/>
      <w:bookmarkStart w:id="820" w:name="_Toc408126448"/>
      <w:bookmarkStart w:id="821" w:name="_Toc336681564"/>
      <w:bookmarkStart w:id="822" w:name="_Toc331684022"/>
      <w:bookmarkStart w:id="823" w:name="_Toc333238617"/>
      <w:bookmarkStart w:id="824" w:name="_Toc345513851"/>
      <w:bookmarkStart w:id="825" w:name="_Toc350756434"/>
      <w:bookmarkStart w:id="826" w:name="_Toc374454584"/>
      <w:bookmarkStart w:id="827" w:name="_Toc333237772"/>
      <w:bookmarkStart w:id="828" w:name="_Toc349127610"/>
      <w:bookmarkStart w:id="829" w:name="_Toc332270330"/>
      <w:bookmarkStart w:id="830" w:name="_Toc339441071"/>
      <w:bookmarkStart w:id="831" w:name="_Toc31892"/>
      <w:bookmarkStart w:id="832" w:name="_Toc337632342"/>
      <w:bookmarkStart w:id="833" w:name="_Toc19242"/>
      <w:bookmarkStart w:id="834" w:name="_Toc342296744"/>
      <w:bookmarkStart w:id="835" w:name="_Toc503785411"/>
      <w:bookmarkStart w:id="836" w:name="_Toc333935330"/>
      <w:bookmarkStart w:id="837" w:name="_Toc330459969"/>
      <w:bookmarkStart w:id="838" w:name="_Toc14786"/>
      <w:bookmarkStart w:id="839" w:name="_Toc340677054"/>
      <w:bookmarkStart w:id="840" w:name="_Toc366072512"/>
      <w:bookmarkStart w:id="841" w:name="_Toc339019873"/>
      <w:bookmarkStart w:id="842" w:name="_Toc339020217"/>
      <w:bookmarkStart w:id="843" w:name="_Toc497224209"/>
      <w:bookmarkStart w:id="844" w:name="_Toc365985163"/>
      <w:bookmarkStart w:id="845" w:name="_Toc365967057"/>
      <w:bookmarkStart w:id="846" w:name="_Toc340507426"/>
      <w:bookmarkStart w:id="847" w:name="_Toc339019999"/>
      <w:bookmarkStart w:id="848" w:name="_Toc339020079"/>
      <w:bookmarkStart w:id="849" w:name="_Toc30763"/>
      <w:bookmarkStart w:id="850" w:name="_Toc342060358"/>
      <w:bookmarkStart w:id="851" w:name="_Toc333237661"/>
      <w:bookmarkStart w:id="852" w:name="_Toc15809"/>
      <w:r>
        <w:rPr>
          <w:rFonts w:hint="eastAsia"/>
        </w:rPr>
        <w:t>投标报价与投标货币</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13.1</w:t>
      </w:r>
      <w:r>
        <w:rPr>
          <w:rFonts w:hint="eastAsia" w:ascii="宋体" w:hAnsi="宋体"/>
          <w:color w:val="000000"/>
        </w:rPr>
        <w:tab/>
      </w:r>
      <w:r>
        <w:rPr>
          <w:rFonts w:hint="eastAsia" w:ascii="宋体" w:hAnsi="宋体"/>
          <w:color w:val="000000"/>
        </w:rPr>
        <w:t>投标报价应为包括</w:t>
      </w:r>
      <w:r>
        <w:rPr>
          <w:rFonts w:hint="eastAsia" w:ascii="宋体" w:hAnsi="宋体"/>
          <w:color w:val="000000"/>
          <w:lang w:val="en-US" w:eastAsia="zh-CN"/>
        </w:rPr>
        <w:t>维保服务费</w:t>
      </w:r>
      <w:r>
        <w:rPr>
          <w:rFonts w:hint="eastAsia" w:ascii="宋体" w:hAnsi="宋体"/>
          <w:color w:val="000000"/>
        </w:rPr>
        <w:t>、安装调试费、技术资料费、验收费、应缴税费、培训费和质量保证期内维修费等在内的</w:t>
      </w:r>
      <w:r>
        <w:rPr>
          <w:rFonts w:hint="eastAsia" w:ascii="宋体" w:hAnsi="宋体"/>
          <w:bCs/>
          <w:color w:val="000000"/>
        </w:rPr>
        <w:t>价格。</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13.2</w:t>
      </w:r>
      <w:r>
        <w:rPr>
          <w:rFonts w:hint="eastAsia" w:ascii="宋体" w:hAnsi="宋体"/>
          <w:color w:val="000000"/>
        </w:rPr>
        <w:tab/>
      </w:r>
      <w:r>
        <w:rPr>
          <w:rFonts w:hint="eastAsia" w:ascii="宋体" w:hAnsi="宋体"/>
          <w:color w:val="000000"/>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13.3</w:t>
      </w:r>
      <w:r>
        <w:rPr>
          <w:rFonts w:hint="eastAsia" w:ascii="宋体" w:hAnsi="宋体"/>
          <w:color w:val="000000"/>
        </w:rPr>
        <w:tab/>
      </w:r>
      <w:r>
        <w:rPr>
          <w:rFonts w:hint="eastAsia" w:ascii="宋体" w:hAnsi="宋体"/>
          <w:color w:val="000000"/>
        </w:rPr>
        <w:t>供应商对货物只允许有一个报价，任何有选择报价的投标将被拒绝。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13.4   供应商所报出的投标价在合同执行过程中是固定不变的，不得以任何理由予以变更。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13.6   供应商在投标文件中如有任何遗漏，影响到招标文件中规定的范围、质量、性能和项目的实施或限制了采购人的权利和供应商的义务，由此产生的费用由供应商负责。</w:t>
      </w:r>
    </w:p>
    <w:p>
      <w:pPr>
        <w:pStyle w:val="6"/>
        <w:numPr>
          <w:ilvl w:val="4"/>
          <w:numId w:val="23"/>
        </w:numPr>
        <w:tabs>
          <w:tab w:val="left" w:pos="432"/>
          <w:tab w:val="left" w:pos="720"/>
        </w:tabs>
        <w:spacing w:before="240" w:after="120"/>
        <w:ind w:left="2432" w:hanging="2432"/>
      </w:pPr>
      <w:bookmarkStart w:id="853" w:name="_Toc408126449"/>
      <w:bookmarkStart w:id="854" w:name="_Toc340677055"/>
      <w:bookmarkStart w:id="855" w:name="_Toc337632343"/>
      <w:bookmarkStart w:id="856" w:name="_Toc339020080"/>
      <w:bookmarkStart w:id="857" w:name="_Toc333237662"/>
      <w:bookmarkStart w:id="858" w:name="_Toc339020218"/>
      <w:bookmarkStart w:id="859" w:name="_Toc350438734"/>
      <w:bookmarkStart w:id="860" w:name="_Toc7196"/>
      <w:bookmarkStart w:id="861" w:name="_Toc342296745"/>
      <w:bookmarkStart w:id="862" w:name="_Toc336681565"/>
      <w:bookmarkStart w:id="863" w:name="_Toc333935331"/>
      <w:bookmarkStart w:id="864" w:name="_Toc14101"/>
      <w:bookmarkStart w:id="865" w:name="_Toc365985164"/>
      <w:bookmarkStart w:id="866" w:name="_Toc349127611"/>
      <w:bookmarkStart w:id="867" w:name="_Toc333237773"/>
      <w:bookmarkStart w:id="868" w:name="_Toc339019874"/>
      <w:bookmarkStart w:id="869" w:name="_Toc28505"/>
      <w:bookmarkStart w:id="870" w:name="_Toc333935672"/>
      <w:bookmarkStart w:id="871" w:name="_Toc345513852"/>
      <w:bookmarkStart w:id="872" w:name="_Toc49265622"/>
      <w:bookmarkStart w:id="873" w:name="_Toc350756435"/>
      <w:bookmarkStart w:id="874" w:name="_Toc340507427"/>
      <w:bookmarkStart w:id="875" w:name="_Toc31013"/>
      <w:bookmarkStart w:id="876" w:name="_Toc340672854"/>
      <w:bookmarkStart w:id="877" w:name="_Toc374454585"/>
      <w:bookmarkStart w:id="878" w:name="_Toc342060359"/>
      <w:bookmarkStart w:id="879" w:name="_Toc349143574"/>
      <w:bookmarkStart w:id="880" w:name="_Toc341348323"/>
      <w:bookmarkStart w:id="881" w:name="_Toc30583"/>
      <w:bookmarkStart w:id="882" w:name="_Toc330459970"/>
      <w:bookmarkStart w:id="883" w:name="_Toc331684023"/>
      <w:bookmarkStart w:id="884" w:name="_Toc332206693"/>
      <w:bookmarkStart w:id="885" w:name="_Toc333238618"/>
      <w:bookmarkStart w:id="886" w:name="_Toc83905559"/>
      <w:bookmarkStart w:id="887" w:name="_Toc365967058"/>
      <w:bookmarkStart w:id="888" w:name="_Toc339362285"/>
      <w:bookmarkStart w:id="889" w:name="_Toc339441072"/>
      <w:bookmarkStart w:id="890" w:name="_Toc497224212"/>
      <w:bookmarkStart w:id="891" w:name="_Toc339020000"/>
      <w:bookmarkStart w:id="892" w:name="_Toc336681920"/>
      <w:bookmarkStart w:id="893" w:name="_Toc332270331"/>
      <w:bookmarkStart w:id="894" w:name="_Toc7365"/>
      <w:bookmarkStart w:id="895" w:name="_Toc503785414"/>
      <w:bookmarkStart w:id="896" w:name="_Toc28329"/>
      <w:bookmarkStart w:id="897" w:name="_Toc331512883"/>
      <w:bookmarkStart w:id="898" w:name="_Toc366072513"/>
      <w:r>
        <w:rPr>
          <w:rFonts w:hint="eastAsia"/>
        </w:rPr>
        <w:t>投标保证金</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.1</w:t>
      </w:r>
      <w:r>
        <w:rPr>
          <w:rFonts w:ascii="宋体"/>
          <w:bCs/>
          <w:color w:val="000000"/>
        </w:rPr>
        <w:tab/>
      </w:r>
      <w:r>
        <w:rPr>
          <w:rFonts w:hint="eastAsia" w:ascii="宋体"/>
          <w:bCs/>
          <w:color w:val="000000"/>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color w:val="000000"/>
        </w:rPr>
        <w:t>14.2   供应商在投标时应按照招标文件商务要求中规定的形式和金额提交投标保证金。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bCs/>
          <w:color w:val="000000"/>
        </w:rPr>
        <w:t>14.3</w:t>
      </w:r>
      <w:r>
        <w:rPr>
          <w:rFonts w:hint="eastAsia" w:ascii="宋体"/>
          <w:bCs/>
          <w:color w:val="000000"/>
        </w:rPr>
        <w:tab/>
      </w:r>
      <w:r>
        <w:rPr>
          <w:rFonts w:hint="eastAsia" w:ascii="宋体"/>
          <w:bCs/>
          <w:color w:val="000000"/>
        </w:rPr>
        <w:t>投标保证金用于保护本次招标免遭因供应商的行为而蒙受的损失。</w:t>
      </w:r>
      <w:r>
        <w:rPr>
          <w:rFonts w:hint="eastAsia" w:ascii="宋体" w:hAnsi="宋体"/>
          <w:color w:val="000000"/>
        </w:rPr>
        <w:t>集中采购机构在因供应商的行为受到损害时，可根据第14.7条的规定，供应商的投标保证金不予退还。</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4</w:t>
      </w:r>
      <w:r>
        <w:rPr>
          <w:rFonts w:ascii="宋体"/>
          <w:bCs/>
          <w:color w:val="000000"/>
        </w:rPr>
        <w:t xml:space="preserve"> </w:t>
      </w:r>
      <w:r>
        <w:rPr>
          <w:rFonts w:hint="eastAsia" w:ascii="宋体"/>
          <w:bCs/>
          <w:color w:val="000000"/>
        </w:rPr>
        <w:tab/>
      </w:r>
      <w:r>
        <w:rPr>
          <w:rFonts w:hint="eastAsia" w:ascii="宋体" w:hAnsi="宋体"/>
          <w:bCs/>
          <w:color w:val="000000"/>
        </w:rPr>
        <w:t>凡未按本须知第14.2条规定随附有效投标保证金的投标</w:t>
      </w:r>
      <w:r>
        <w:rPr>
          <w:rFonts w:ascii="宋体" w:hAnsi="宋体"/>
          <w:bCs/>
          <w:color w:val="000000"/>
        </w:rPr>
        <w:t>，</w:t>
      </w:r>
      <w:r>
        <w:rPr>
          <w:rFonts w:hint="eastAsia" w:ascii="宋体" w:hAnsi="宋体"/>
          <w:bCs/>
          <w:color w:val="000000"/>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5</w:t>
      </w:r>
      <w:r>
        <w:rPr>
          <w:rFonts w:ascii="宋体"/>
          <w:bCs/>
          <w:color w:val="000000"/>
        </w:rPr>
        <w:tab/>
      </w:r>
      <w:r>
        <w:rPr>
          <w:rFonts w:hint="eastAsia" w:ascii="宋体" w:hAnsi="宋体"/>
          <w:bCs/>
          <w:color w:val="000000"/>
        </w:rPr>
        <w:t>未中标的供应商的投标保证金，集中采购机构将于中标结果公布后无息退还。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6</w:t>
      </w:r>
      <w:r>
        <w:rPr>
          <w:rFonts w:ascii="宋体"/>
          <w:bCs/>
          <w:color w:val="000000"/>
        </w:rPr>
        <w:tab/>
      </w:r>
      <w:r>
        <w:rPr>
          <w:rFonts w:hint="eastAsia" w:ascii="宋体" w:hAnsi="宋体"/>
          <w:bCs/>
          <w:color w:val="000000"/>
        </w:rPr>
        <w:t>中标供应商的投标保证金</w:t>
      </w:r>
      <w:r>
        <w:rPr>
          <w:rFonts w:ascii="宋体" w:hAnsi="宋体"/>
          <w:bCs/>
          <w:color w:val="000000"/>
        </w:rPr>
        <w:t>，</w:t>
      </w:r>
      <w:r>
        <w:rPr>
          <w:rFonts w:hint="eastAsia" w:ascii="宋体" w:hAnsi="宋体"/>
          <w:bCs/>
          <w:color w:val="000000"/>
        </w:rPr>
        <w:t>在中标供应商签订了合同后予以无息退</w:t>
      </w:r>
      <w:r>
        <w:rPr>
          <w:rFonts w:hint="eastAsia" w:ascii="宋体"/>
          <w:bCs/>
          <w:color w:val="000000"/>
        </w:rPr>
        <w:t>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7</w:t>
      </w:r>
      <w:r>
        <w:rPr>
          <w:rFonts w:ascii="宋体"/>
          <w:bCs/>
          <w:color w:val="000000"/>
        </w:rPr>
        <w:tab/>
      </w:r>
      <w:r>
        <w:rPr>
          <w:rFonts w:hint="eastAsia" w:ascii="宋体"/>
          <w:bCs/>
          <w:color w:val="000000"/>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（1）供应商在招标文件中规定的投标有效期内撤回其投标；</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（2）中标供应商未能按招标文件的规定签订合同；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（3）供应商提供虚假投标文件或虚假补充文件的。</w:t>
      </w:r>
    </w:p>
    <w:p>
      <w:pPr>
        <w:pStyle w:val="6"/>
        <w:numPr>
          <w:ilvl w:val="4"/>
          <w:numId w:val="23"/>
        </w:numPr>
        <w:tabs>
          <w:tab w:val="left" w:pos="432"/>
          <w:tab w:val="left" w:pos="720"/>
        </w:tabs>
        <w:spacing w:before="240" w:after="120"/>
        <w:ind w:left="2432" w:hanging="2432"/>
      </w:pPr>
      <w:bookmarkStart w:id="899" w:name="_Toc339362286"/>
      <w:bookmarkStart w:id="900" w:name="_Toc336681566"/>
      <w:bookmarkStart w:id="901" w:name="_Toc342060360"/>
      <w:bookmarkStart w:id="902" w:name="_Toc339020001"/>
      <w:bookmarkStart w:id="903" w:name="_Toc9883"/>
      <w:bookmarkStart w:id="904" w:name="_Toc349143575"/>
      <w:bookmarkStart w:id="905" w:name="_Toc333237663"/>
      <w:bookmarkStart w:id="906" w:name="_Toc27827"/>
      <w:bookmarkStart w:id="907" w:name="_Toc17168"/>
      <w:bookmarkStart w:id="908" w:name="_Toc340672855"/>
      <w:bookmarkStart w:id="909" w:name="_Toc339020219"/>
      <w:bookmarkStart w:id="910" w:name="_Toc332270332"/>
      <w:bookmarkStart w:id="911" w:name="_Toc49265623"/>
      <w:bookmarkStart w:id="912" w:name="_Toc408126450"/>
      <w:bookmarkStart w:id="913" w:name="_Toc340677056"/>
      <w:bookmarkStart w:id="914" w:name="_Toc333935332"/>
      <w:bookmarkStart w:id="915" w:name="_Toc333237774"/>
      <w:bookmarkStart w:id="916" w:name="_Toc331512884"/>
      <w:bookmarkStart w:id="917" w:name="_Toc503785415"/>
      <w:bookmarkStart w:id="918" w:name="_Toc331684024"/>
      <w:bookmarkStart w:id="919" w:name="_Toc83905560"/>
      <w:bookmarkStart w:id="920" w:name="_Toc349127612"/>
      <w:bookmarkStart w:id="921" w:name="_Toc365985165"/>
      <w:bookmarkStart w:id="922" w:name="_Toc10074"/>
      <w:bookmarkStart w:id="923" w:name="_Toc339441073"/>
      <w:bookmarkStart w:id="924" w:name="_Toc8818"/>
      <w:bookmarkStart w:id="925" w:name="_Toc342296746"/>
      <w:bookmarkStart w:id="926" w:name="_Toc25988"/>
      <w:bookmarkStart w:id="927" w:name="_Toc350756436"/>
      <w:bookmarkStart w:id="928" w:name="_Toc350438735"/>
      <w:bookmarkStart w:id="929" w:name="_Toc332206694"/>
      <w:bookmarkStart w:id="930" w:name="_Toc330459971"/>
      <w:bookmarkStart w:id="931" w:name="_Toc345513853"/>
      <w:bookmarkStart w:id="932" w:name="_Toc333238619"/>
      <w:bookmarkStart w:id="933" w:name="_Toc374454586"/>
      <w:bookmarkStart w:id="934" w:name="_Toc366072514"/>
      <w:bookmarkStart w:id="935" w:name="_Toc339019875"/>
      <w:bookmarkStart w:id="936" w:name="_Toc333935673"/>
      <w:bookmarkStart w:id="937" w:name="_Toc497224213"/>
      <w:bookmarkStart w:id="938" w:name="_Toc337632344"/>
      <w:bookmarkStart w:id="939" w:name="_Toc365967059"/>
      <w:bookmarkStart w:id="940" w:name="_Toc8432"/>
      <w:bookmarkStart w:id="941" w:name="_Toc340507428"/>
      <w:bookmarkStart w:id="942" w:name="_Toc336681921"/>
      <w:bookmarkStart w:id="943" w:name="_Toc339020081"/>
      <w:bookmarkStart w:id="944" w:name="_Toc341348324"/>
      <w:r>
        <w:rPr>
          <w:rFonts w:hint="eastAsia"/>
        </w:rPr>
        <w:t>投标有效期</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从开标之日起，本项目的投标有效期为90天。</w:t>
      </w:r>
      <w:r>
        <w:rPr>
          <w:rFonts w:ascii="宋体"/>
          <w:bCs/>
          <w:color w:val="000000"/>
        </w:rPr>
        <w:t xml:space="preserve"> </w:t>
      </w:r>
    </w:p>
    <w:p>
      <w:pPr>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.2</w:t>
      </w:r>
      <w:r>
        <w:rPr>
          <w:rFonts w:hint="eastAsia" w:ascii="宋体"/>
          <w:bCs/>
          <w:color w:val="000000"/>
        </w:rPr>
        <w:tab/>
      </w:r>
      <w:r>
        <w:rPr>
          <w:rFonts w:hint="eastAsia" w:ascii="宋体"/>
          <w:bCs/>
          <w:color w:val="000000"/>
        </w:rPr>
        <w:t>在特殊情况下，集中采购机构可于原投标有效期截止之前要求供应商同意延长有效期，要求与答复均应为书面形式。供应商可以拒绝上述要求而其投标保证金将予退还。对于同意该要求的供应商，既不要求也不允许其修改投标文件，但将要求其相应延长投标保证金的有效期，有关投标保证金的规定在投标有效期的延长期内继续有效。</w:t>
      </w:r>
    </w:p>
    <w:p>
      <w:pPr>
        <w:pStyle w:val="6"/>
        <w:numPr>
          <w:ilvl w:val="4"/>
          <w:numId w:val="23"/>
        </w:numPr>
        <w:tabs>
          <w:tab w:val="left" w:pos="432"/>
          <w:tab w:val="left" w:pos="720"/>
        </w:tabs>
        <w:spacing w:before="240" w:after="120"/>
        <w:ind w:left="2432" w:hanging="2432"/>
      </w:pPr>
      <w:bookmarkStart w:id="945" w:name="_Toc408126451"/>
      <w:bookmarkStart w:id="946" w:name="_Toc333237664"/>
      <w:bookmarkStart w:id="947" w:name="_Toc20670"/>
      <w:bookmarkStart w:id="948" w:name="_Toc28733"/>
      <w:bookmarkStart w:id="949" w:name="_Toc13890"/>
      <w:bookmarkStart w:id="950" w:name="_Toc332270333"/>
      <w:bookmarkStart w:id="951" w:name="_Toc365985166"/>
      <w:bookmarkStart w:id="952" w:name="_Toc365967060"/>
      <w:bookmarkStart w:id="953" w:name="_Toc7613"/>
      <w:bookmarkStart w:id="954" w:name="_Toc340672856"/>
      <w:bookmarkStart w:id="955" w:name="_Toc330459972"/>
      <w:bookmarkStart w:id="956" w:name="_Toc336681922"/>
      <w:bookmarkStart w:id="957" w:name="_Toc332206695"/>
      <w:bookmarkStart w:id="958" w:name="_Toc345513854"/>
      <w:bookmarkStart w:id="959" w:name="_Toc15882"/>
      <w:bookmarkStart w:id="960" w:name="_Toc339020220"/>
      <w:bookmarkStart w:id="961" w:name="_Toc339020002"/>
      <w:bookmarkStart w:id="962" w:name="_Toc339020082"/>
      <w:bookmarkStart w:id="963" w:name="_Toc341348325"/>
      <w:bookmarkStart w:id="964" w:name="_Toc497224214"/>
      <w:bookmarkStart w:id="965" w:name="_Toc503785416"/>
      <w:bookmarkStart w:id="966" w:name="_Toc350756437"/>
      <w:bookmarkStart w:id="967" w:name="_Toc336681567"/>
      <w:bookmarkStart w:id="968" w:name="_Toc331684025"/>
      <w:bookmarkStart w:id="969" w:name="_Toc342060361"/>
      <w:bookmarkStart w:id="970" w:name="_Toc333935333"/>
      <w:bookmarkStart w:id="971" w:name="_Toc366072515"/>
      <w:bookmarkStart w:id="972" w:name="_Toc333238620"/>
      <w:bookmarkStart w:id="973" w:name="_Toc350438736"/>
      <w:bookmarkStart w:id="974" w:name="_Toc339019876"/>
      <w:bookmarkStart w:id="975" w:name="_Toc111534389"/>
      <w:bookmarkStart w:id="976" w:name="_Toc374454587"/>
      <w:bookmarkStart w:id="977" w:name="_Toc7604"/>
      <w:bookmarkStart w:id="978" w:name="_Toc49265624"/>
      <w:bookmarkStart w:id="979" w:name="_Toc339362287"/>
      <w:bookmarkStart w:id="980" w:name="_Toc331512885"/>
      <w:bookmarkStart w:id="981" w:name="_Toc333237775"/>
      <w:bookmarkStart w:id="982" w:name="_Toc29090"/>
      <w:bookmarkStart w:id="983" w:name="_Toc83905561"/>
      <w:bookmarkStart w:id="984" w:name="_Toc349127613"/>
      <w:bookmarkStart w:id="985" w:name="_Toc333935674"/>
      <w:bookmarkStart w:id="986" w:name="_Toc342296747"/>
      <w:bookmarkStart w:id="987" w:name="_Toc349143576"/>
      <w:bookmarkStart w:id="988" w:name="_Toc340507429"/>
      <w:bookmarkStart w:id="989" w:name="_Toc340677057"/>
      <w:bookmarkStart w:id="990" w:name="_Toc339441074"/>
      <w:bookmarkStart w:id="991" w:name="_Toc337632345"/>
      <w:r>
        <w:rPr>
          <w:rFonts w:hint="eastAsia"/>
        </w:rPr>
        <w:t>投标文件的签署及规定</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投标人应按所投项目准备正本和副本，在每一份投标文件上要明确标明“正本”或“副本”。如正本的内容和副本不符，以正本为准（注：投标文件副本可为正本的复印件）。</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6</w:t>
      </w:r>
      <w:r>
        <w:rPr>
          <w:rFonts w:ascii="宋体"/>
          <w:bCs/>
          <w:color w:val="000000"/>
        </w:rPr>
        <w:t>.2</w:t>
      </w:r>
      <w:r>
        <w:rPr>
          <w:rFonts w:hint="eastAsia" w:ascii="宋体"/>
          <w:bCs/>
          <w:color w:val="000000"/>
        </w:rPr>
        <w:tab/>
      </w:r>
      <w:r>
        <w:rPr>
          <w:rFonts w:hint="eastAsia" w:ascii="宋体" w:hAnsi="宋体"/>
          <w:bCs/>
          <w:color w:val="000000"/>
        </w:rPr>
        <w:t>投标文件正本须打印或复印或用不褪色书写工具书写，并由供应商的法定代表人或经法定代表人正式授权的代表签字，并加盖公章。供应商须将以书面形式出具的“法定代表人授权委托书”附在投标文件中。</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.3</w:t>
      </w:r>
      <w:r>
        <w:rPr>
          <w:rFonts w:hint="eastAsia" w:ascii="宋体"/>
          <w:bCs/>
          <w:color w:val="000000"/>
        </w:rPr>
        <w:tab/>
      </w:r>
      <w:r>
        <w:rPr>
          <w:rFonts w:hint="eastAsia" w:ascii="宋体"/>
          <w:bCs/>
          <w:color w:val="000000"/>
        </w:rPr>
        <w:t>除供应商对差错处做必要修改外，投标文件中不允许有行间插字、涂改或增删，如有修改错漏处，必须由投标文件的签署人签字，以示确认。</w:t>
      </w:r>
    </w:p>
    <w:p>
      <w:pPr>
        <w:pStyle w:val="5"/>
        <w:numPr>
          <w:ilvl w:val="0"/>
          <w:numId w:val="0"/>
        </w:numPr>
        <w:rPr>
          <w:color w:val="000000"/>
          <w:sz w:val="24"/>
          <w:szCs w:val="24"/>
        </w:rPr>
      </w:pPr>
      <w:bookmarkStart w:id="992" w:name="_Toc331684026"/>
      <w:bookmarkStart w:id="993" w:name="_Toc332206696"/>
      <w:bookmarkStart w:id="994" w:name="_Toc339020083"/>
      <w:bookmarkStart w:id="995" w:name="_Toc333935334"/>
      <w:bookmarkStart w:id="996" w:name="_Toc340507430"/>
      <w:bookmarkStart w:id="997" w:name="_Toc340672857"/>
      <w:bookmarkStart w:id="998" w:name="_Toc349143577"/>
      <w:bookmarkStart w:id="999" w:name="_Toc330459973"/>
      <w:bookmarkStart w:id="1000" w:name="_Toc366072516"/>
      <w:bookmarkStart w:id="1001" w:name="_Toc340677058"/>
      <w:bookmarkStart w:id="1002" w:name="_Toc331512886"/>
      <w:bookmarkStart w:id="1003" w:name="_Toc365967061"/>
      <w:bookmarkStart w:id="1004" w:name="_Toc339019877"/>
      <w:bookmarkStart w:id="1005" w:name="_Toc332270334"/>
      <w:bookmarkStart w:id="1006" w:name="_Toc503785417"/>
      <w:bookmarkStart w:id="1007" w:name="_Toc350438737"/>
      <w:bookmarkStart w:id="1008" w:name="_Toc339020003"/>
      <w:bookmarkStart w:id="1009" w:name="_Toc26982"/>
      <w:bookmarkStart w:id="1010" w:name="_Toc408126452"/>
      <w:bookmarkStart w:id="1011" w:name="_Toc333237665"/>
      <w:bookmarkStart w:id="1012" w:name="_Toc342060362"/>
      <w:bookmarkStart w:id="1013" w:name="_Toc333238621"/>
      <w:bookmarkStart w:id="1014" w:name="_Toc345513855"/>
      <w:bookmarkStart w:id="1015" w:name="_Toc49265625"/>
      <w:bookmarkStart w:id="1016" w:name="_Toc111534390"/>
      <w:bookmarkStart w:id="1017" w:name="_Toc339362288"/>
      <w:bookmarkStart w:id="1018" w:name="_Toc333935675"/>
      <w:bookmarkStart w:id="1019" w:name="_Toc349127614"/>
      <w:bookmarkStart w:id="1020" w:name="_Toc14306"/>
      <w:bookmarkStart w:id="1021" w:name="_Toc350756438"/>
      <w:bookmarkStart w:id="1022" w:name="_Toc549"/>
      <w:bookmarkStart w:id="1023" w:name="_Toc336681568"/>
      <w:bookmarkStart w:id="1024" w:name="_Toc339020221"/>
      <w:bookmarkStart w:id="1025" w:name="_Toc365985167"/>
      <w:bookmarkStart w:id="1026" w:name="_Toc336681923"/>
      <w:bookmarkStart w:id="1027" w:name="_Toc337632346"/>
      <w:bookmarkStart w:id="1028" w:name="_Toc10890"/>
      <w:bookmarkStart w:id="1029" w:name="_Toc342296748"/>
      <w:bookmarkStart w:id="1030" w:name="_Toc83905562"/>
      <w:bookmarkStart w:id="1031" w:name="_Toc497224215"/>
      <w:bookmarkStart w:id="1032" w:name="_Toc9652"/>
      <w:bookmarkStart w:id="1033" w:name="_Toc3480"/>
      <w:bookmarkStart w:id="1034" w:name="_Toc26983"/>
      <w:bookmarkStart w:id="1035" w:name="_Toc339441075"/>
      <w:bookmarkStart w:id="1036" w:name="_Toc374454588"/>
      <w:bookmarkStart w:id="1037" w:name="_Toc333237776"/>
      <w:bookmarkStart w:id="1038" w:name="_Toc341348326"/>
      <w:r>
        <w:rPr>
          <w:rFonts w:hint="eastAsia"/>
          <w:color w:val="000000"/>
          <w:sz w:val="24"/>
          <w:szCs w:val="24"/>
        </w:rPr>
        <w:t>Ｄ</w:t>
      </w:r>
      <w:r>
        <w:rPr>
          <w:color w:val="000000"/>
          <w:sz w:val="24"/>
          <w:szCs w:val="24"/>
        </w:rPr>
        <w:t xml:space="preserve">  </w:t>
      </w:r>
      <w:r>
        <w:rPr>
          <w:rFonts w:hint="eastAsia"/>
          <w:color w:val="000000"/>
          <w:sz w:val="24"/>
          <w:szCs w:val="24"/>
        </w:rPr>
        <w:t>投标文件的递交</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pStyle w:val="6"/>
        <w:numPr>
          <w:ilvl w:val="4"/>
          <w:numId w:val="23"/>
        </w:numPr>
        <w:tabs>
          <w:tab w:val="left" w:pos="432"/>
          <w:tab w:val="left" w:pos="720"/>
        </w:tabs>
        <w:spacing w:before="240" w:after="120"/>
        <w:ind w:left="2432" w:hanging="2432"/>
      </w:pPr>
      <w:bookmarkStart w:id="1039" w:name="_Toc9497"/>
      <w:bookmarkStart w:id="1040" w:name="_Toc345513856"/>
      <w:bookmarkStart w:id="1041" w:name="_Toc366072517"/>
      <w:bookmarkStart w:id="1042" w:name="_Toc339020004"/>
      <w:bookmarkStart w:id="1043" w:name="_Toc336681569"/>
      <w:bookmarkStart w:id="1044" w:name="_Toc9026"/>
      <w:bookmarkStart w:id="1045" w:name="_Toc342296749"/>
      <w:bookmarkStart w:id="1046" w:name="_Toc349143578"/>
      <w:bookmarkStart w:id="1047" w:name="_Toc497224216"/>
      <w:bookmarkStart w:id="1048" w:name="_Toc332270335"/>
      <w:bookmarkStart w:id="1049" w:name="_Toc111534391"/>
      <w:bookmarkStart w:id="1050" w:name="_Toc333238622"/>
      <w:bookmarkStart w:id="1051" w:name="_Toc350756439"/>
      <w:bookmarkStart w:id="1052" w:name="_Toc374454589"/>
      <w:bookmarkStart w:id="1053" w:name="_Toc339362289"/>
      <w:bookmarkStart w:id="1054" w:name="_Toc350438738"/>
      <w:bookmarkStart w:id="1055" w:name="_Toc336681924"/>
      <w:bookmarkStart w:id="1056" w:name="_Toc339441076"/>
      <w:bookmarkStart w:id="1057" w:name="_Toc365967062"/>
      <w:bookmarkStart w:id="1058" w:name="_Toc32341"/>
      <w:bookmarkStart w:id="1059" w:name="_Toc15821"/>
      <w:bookmarkStart w:id="1060" w:name="_Toc83905563"/>
      <w:bookmarkStart w:id="1061" w:name="_Toc331512887"/>
      <w:bookmarkStart w:id="1062" w:name="_Toc11452"/>
      <w:bookmarkStart w:id="1063" w:name="_Toc365985168"/>
      <w:bookmarkStart w:id="1064" w:name="_Toc339020084"/>
      <w:bookmarkStart w:id="1065" w:name="_Toc332206697"/>
      <w:bookmarkStart w:id="1066" w:name="_Toc503785418"/>
      <w:bookmarkStart w:id="1067" w:name="_Toc408126453"/>
      <w:bookmarkStart w:id="1068" w:name="_Toc337632347"/>
      <w:bookmarkStart w:id="1069" w:name="_Toc333935676"/>
      <w:bookmarkStart w:id="1070" w:name="_Toc340672858"/>
      <w:bookmarkStart w:id="1071" w:name="_Toc330459974"/>
      <w:bookmarkStart w:id="1072" w:name="_Toc14882"/>
      <w:bookmarkStart w:id="1073" w:name="_Toc340507431"/>
      <w:bookmarkStart w:id="1074" w:name="_Toc333935335"/>
      <w:bookmarkStart w:id="1075" w:name="_Toc349127615"/>
      <w:bookmarkStart w:id="1076" w:name="_Toc331684027"/>
      <w:bookmarkStart w:id="1077" w:name="_Toc340677059"/>
      <w:bookmarkStart w:id="1078" w:name="_Toc341348327"/>
      <w:bookmarkStart w:id="1079" w:name="_Toc339019878"/>
      <w:bookmarkStart w:id="1080" w:name="_Toc342060363"/>
      <w:bookmarkStart w:id="1081" w:name="_Toc11949"/>
      <w:bookmarkStart w:id="1082" w:name="_Toc333237777"/>
      <w:bookmarkStart w:id="1083" w:name="_Toc333237666"/>
      <w:bookmarkStart w:id="1084" w:name="_Toc339020222"/>
      <w:bookmarkStart w:id="1085" w:name="_Toc49265626"/>
      <w:r>
        <w:rPr>
          <w:rFonts w:hint="eastAsia"/>
        </w:rPr>
        <w:t>投标文件的密封和标记</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.1</w:t>
      </w:r>
      <w:r>
        <w:rPr>
          <w:rFonts w:hint="eastAsia" w:ascii="宋体"/>
          <w:bCs/>
          <w:color w:val="000000"/>
        </w:rPr>
        <w:tab/>
      </w:r>
      <w:r>
        <w:rPr>
          <w:rFonts w:hint="eastAsia" w:ascii="宋体"/>
          <w:bCs/>
          <w:color w:val="000000"/>
        </w:rPr>
        <w:t>投标文件由资格审查文件、商务及技术文件组成，分2册独立装订成册并分别密封在不透明的外层封装中，封面需按招标文件封面格式要求标注并加盖公章。所有投标文件密封袋的封口处应加盖投标人公章或密封章。投标人在每一份投标文件上明确标明 “正本”或“副本”。每册</w:t>
      </w:r>
      <w:r>
        <w:rPr>
          <w:rFonts w:hint="eastAsia" w:ascii="宋体"/>
          <w:bCs/>
          <w:color w:val="000000"/>
          <w:lang w:eastAsia="zh-CN"/>
        </w:rPr>
        <w:t>一式3份</w:t>
      </w:r>
      <w:r>
        <w:rPr>
          <w:rFonts w:hint="eastAsia" w:ascii="宋体"/>
          <w:bCs/>
          <w:color w:val="000000"/>
        </w:rPr>
        <w:t xml:space="preserve">，正本 1 份, 副本 </w:t>
      </w:r>
      <w:r>
        <w:rPr>
          <w:rFonts w:hint="eastAsia" w:ascii="宋体"/>
          <w:bCs/>
          <w:color w:val="000000"/>
          <w:lang w:val="en-US" w:eastAsia="zh-CN"/>
        </w:rPr>
        <w:t>2</w:t>
      </w:r>
      <w:r>
        <w:rPr>
          <w:rFonts w:hint="eastAsia" w:ascii="宋体"/>
          <w:bCs/>
          <w:color w:val="000000"/>
        </w:rPr>
        <w:t>份。</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ascii="宋体"/>
          <w:bCs/>
          <w:color w:val="000000"/>
        </w:rPr>
        <w:t>1</w:t>
      </w:r>
      <w:r>
        <w:rPr>
          <w:rFonts w:hint="eastAsia" w:ascii="宋体"/>
          <w:bCs/>
          <w:color w:val="000000"/>
        </w:rPr>
        <w:t>7</w:t>
      </w:r>
      <w:r>
        <w:rPr>
          <w:rFonts w:ascii="宋体"/>
          <w:bCs/>
          <w:color w:val="000000"/>
        </w:rPr>
        <w:t>.2</w:t>
      </w:r>
      <w:r>
        <w:rPr>
          <w:rFonts w:hint="eastAsia" w:ascii="宋体"/>
          <w:bCs/>
          <w:color w:val="000000"/>
        </w:rPr>
        <w:tab/>
      </w:r>
      <w:r>
        <w:rPr>
          <w:rFonts w:hint="eastAsia" w:ascii="宋体" w:hAnsi="宋体"/>
          <w:bCs/>
          <w:color w:val="000000"/>
        </w:rPr>
        <w:t>为了方便唱标，供应商还应该在递交投标文件的同时，向集中采购机构单独密封提交“唱标文件”，包括“开标一览表”和“投标保证金”：</w:t>
      </w:r>
    </w:p>
    <w:p>
      <w:pPr>
        <w:widowControl/>
        <w:tabs>
          <w:tab w:val="left" w:pos="1155"/>
        </w:tabs>
        <w:adjustRightInd w:val="0"/>
        <w:snapToGrid w:val="0"/>
        <w:spacing w:line="360" w:lineRule="auto"/>
        <w:ind w:left="808" w:leftChars="385"/>
        <w:rPr>
          <w:rFonts w:ascii="宋体" w:hAnsi="宋体"/>
          <w:bCs/>
          <w:color w:val="000000"/>
        </w:rPr>
      </w:pPr>
      <w:r>
        <w:rPr>
          <w:rFonts w:hint="eastAsia" w:ascii="宋体" w:hAnsi="宋体"/>
          <w:bCs/>
          <w:color w:val="000000"/>
        </w:rPr>
        <w:t>供应商应将投标文件正本中的“开标一览表”复制一份（加盖公章并由法定代表人或其授权代表签字和投标保证金凭证密封于一信封内，并在该信封上标明“唱标文件”字样（不要装入投标文件的密封袋中），于递交投标文件时送交集中采购机构。</w:t>
      </w:r>
    </w:p>
    <w:p>
      <w:pPr>
        <w:widowControl/>
        <w:tabs>
          <w:tab w:val="left" w:pos="1260"/>
        </w:tabs>
        <w:adjustRightInd w:val="0"/>
        <w:snapToGrid w:val="0"/>
        <w:spacing w:line="360" w:lineRule="auto"/>
        <w:ind w:left="718" w:leftChars="1" w:hanging="716" w:hangingChars="341"/>
        <w:rPr>
          <w:rFonts w:ascii="宋体" w:hAnsi="宋体"/>
          <w:bCs/>
          <w:color w:val="000000"/>
        </w:rPr>
      </w:pPr>
      <w:r>
        <w:rPr>
          <w:rFonts w:hint="eastAsia" w:ascii="宋体" w:hAnsi="宋体"/>
          <w:bCs/>
          <w:color w:val="000000"/>
        </w:rPr>
        <w:t xml:space="preserve">17.3   </w:t>
      </w:r>
      <w:r>
        <w:rPr>
          <w:rFonts w:hint="eastAsia" w:ascii="宋体"/>
          <w:bCs/>
          <w:color w:val="000000"/>
        </w:rPr>
        <w:t>每一密封信封上均应注明“于</w:t>
      </w:r>
      <w:r>
        <w:rPr>
          <w:rFonts w:hint="eastAsia" w:ascii="宋体"/>
          <w:bCs/>
          <w:color w:val="000000"/>
          <w:u w:val="single"/>
        </w:rPr>
        <w:t xml:space="preserve">     （投标截止时间）   </w:t>
      </w:r>
      <w:r>
        <w:rPr>
          <w:rFonts w:hint="eastAsia" w:ascii="宋体"/>
          <w:bCs/>
          <w:color w:val="000000"/>
        </w:rPr>
        <w:t>之前不准启封”的字样，并加盖骑缝章。</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如果供应商未按上述规定对投标文件进行密封和加写标记，</w:t>
      </w:r>
      <w:r>
        <w:rPr>
          <w:rFonts w:hint="eastAsia" w:ascii="宋体" w:hAnsi="宋体"/>
          <w:color w:val="000000"/>
        </w:rPr>
        <w:t>则集中采购机构有权予以拒收，并退回给供应商。</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 xml:space="preserve">17.5   </w:t>
      </w:r>
      <w:r>
        <w:rPr>
          <w:rFonts w:hint="eastAsia" w:ascii="宋体" w:hAnsi="宋体"/>
          <w:color w:val="000000"/>
        </w:rPr>
        <w:t>电报、电话、传真</w:t>
      </w:r>
      <w:r>
        <w:rPr>
          <w:rFonts w:hint="eastAsia" w:ascii="宋体"/>
          <w:bCs/>
          <w:color w:val="000000"/>
        </w:rPr>
        <w:t>等非纸质形式</w:t>
      </w:r>
      <w:r>
        <w:rPr>
          <w:rFonts w:hint="eastAsia" w:ascii="宋体" w:hAnsi="宋体"/>
          <w:color w:val="000000"/>
        </w:rPr>
        <w:t>的投标概不接受</w:t>
      </w:r>
      <w:r>
        <w:rPr>
          <w:rFonts w:hint="eastAsia" w:ascii="宋体"/>
          <w:bCs/>
          <w:color w:val="000000"/>
        </w:rPr>
        <w:t>。</w:t>
      </w:r>
    </w:p>
    <w:p>
      <w:pPr>
        <w:pStyle w:val="6"/>
        <w:numPr>
          <w:ilvl w:val="4"/>
          <w:numId w:val="23"/>
        </w:numPr>
        <w:tabs>
          <w:tab w:val="left" w:pos="432"/>
          <w:tab w:val="left" w:pos="720"/>
        </w:tabs>
        <w:spacing w:before="240" w:after="120"/>
        <w:ind w:left="2432" w:hanging="2432"/>
      </w:pPr>
      <w:bookmarkStart w:id="1086" w:name="_Toc331512888"/>
      <w:bookmarkStart w:id="1087" w:name="_Toc497224217"/>
      <w:bookmarkStart w:id="1088" w:name="_Toc336681570"/>
      <w:bookmarkStart w:id="1089" w:name="_Toc333935677"/>
      <w:bookmarkStart w:id="1090" w:name="_Toc366072518"/>
      <w:bookmarkStart w:id="1091" w:name="_Toc374454590"/>
      <w:bookmarkStart w:id="1092" w:name="_Toc339020085"/>
      <w:bookmarkStart w:id="1093" w:name="_Toc349143579"/>
      <w:bookmarkStart w:id="1094" w:name="_Toc20276"/>
      <w:bookmarkStart w:id="1095" w:name="_Toc333238623"/>
      <w:bookmarkStart w:id="1096" w:name="_Toc339019879"/>
      <w:bookmarkStart w:id="1097" w:name="_Toc365985169"/>
      <w:bookmarkStart w:id="1098" w:name="_Toc332270336"/>
      <w:bookmarkStart w:id="1099" w:name="_Toc342296750"/>
      <w:bookmarkStart w:id="1100" w:name="_Toc340507432"/>
      <w:bookmarkStart w:id="1101" w:name="_Toc49265627"/>
      <w:bookmarkStart w:id="1102" w:name="_Toc341348328"/>
      <w:bookmarkStart w:id="1103" w:name="_Toc337632348"/>
      <w:bookmarkStart w:id="1104" w:name="_Toc333935336"/>
      <w:bookmarkStart w:id="1105" w:name="_Toc330459975"/>
      <w:bookmarkStart w:id="1106" w:name="_Toc340677060"/>
      <w:bookmarkStart w:id="1107" w:name="_Toc345513857"/>
      <w:bookmarkStart w:id="1108" w:name="_Toc332206698"/>
      <w:bookmarkStart w:id="1109" w:name="_Toc350756440"/>
      <w:bookmarkStart w:id="1110" w:name="_Toc20256"/>
      <w:bookmarkStart w:id="1111" w:name="_Toc339441077"/>
      <w:bookmarkStart w:id="1112" w:name="_Toc333237667"/>
      <w:bookmarkStart w:id="1113" w:name="_Toc503785419"/>
      <w:bookmarkStart w:id="1114" w:name="_Toc16189"/>
      <w:bookmarkStart w:id="1115" w:name="_Toc25164"/>
      <w:bookmarkStart w:id="1116" w:name="_Toc349127616"/>
      <w:bookmarkStart w:id="1117" w:name="_Toc339020223"/>
      <w:bookmarkStart w:id="1118" w:name="_Toc83905564"/>
      <w:bookmarkStart w:id="1119" w:name="_Toc2595"/>
      <w:bookmarkStart w:id="1120" w:name="_Toc340672859"/>
      <w:bookmarkStart w:id="1121" w:name="_Toc336681925"/>
      <w:bookmarkStart w:id="1122" w:name="_Toc365967063"/>
      <w:bookmarkStart w:id="1123" w:name="_Toc339020005"/>
      <w:bookmarkStart w:id="1124" w:name="_Toc342060364"/>
      <w:bookmarkStart w:id="1125" w:name="_Toc331684028"/>
      <w:bookmarkStart w:id="1126" w:name="_Toc408126454"/>
      <w:bookmarkStart w:id="1127" w:name="_Toc111534392"/>
      <w:bookmarkStart w:id="1128" w:name="_Toc4860"/>
      <w:bookmarkStart w:id="1129" w:name="_Toc339362290"/>
      <w:bookmarkStart w:id="1130" w:name="_Toc350438739"/>
      <w:bookmarkStart w:id="1131" w:name="_Toc9620"/>
      <w:bookmarkStart w:id="1132" w:name="_Toc333237778"/>
      <w:r>
        <w:rPr>
          <w:rFonts w:hint="eastAsia"/>
        </w:rPr>
        <w:t>递交投标文件的时间、地点及截止时间</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18.1</w:t>
      </w:r>
      <w:r>
        <w:rPr>
          <w:rFonts w:hint="eastAsia" w:ascii="宋体" w:hAnsi="宋体"/>
          <w:bCs/>
          <w:color w:val="000000"/>
        </w:rPr>
        <w:tab/>
      </w:r>
      <w:r>
        <w:rPr>
          <w:rFonts w:hint="eastAsia" w:ascii="宋体" w:hAnsi="宋体"/>
          <w:bCs/>
          <w:color w:val="000000"/>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18.2</w:t>
      </w:r>
      <w:r>
        <w:rPr>
          <w:rFonts w:hint="eastAsia" w:ascii="宋体" w:hAnsi="宋体"/>
          <w:bCs/>
          <w:color w:val="000000"/>
        </w:rPr>
        <w:tab/>
      </w:r>
      <w:r>
        <w:rPr>
          <w:rFonts w:hint="eastAsia" w:ascii="宋体" w:hAnsi="宋体"/>
          <w:bCs/>
          <w:color w:val="000000"/>
        </w:rPr>
        <w:t>投标文件需由专人送交。供应商须将密封和标记后的投标文件，按照招标文件中注明的开标地址于投标截止时间之前送交集中采购机构。</w:t>
      </w:r>
    </w:p>
    <w:p>
      <w:pPr>
        <w:widowControl/>
        <w:tabs>
          <w:tab w:val="left" w:pos="753"/>
        </w:tabs>
        <w:adjustRightInd w:val="0"/>
        <w:snapToGrid w:val="0"/>
        <w:spacing w:line="360" w:lineRule="auto"/>
        <w:ind w:left="751" w:leftChars="1" w:hanging="749" w:hangingChars="357"/>
        <w:rPr>
          <w:rFonts w:ascii="宋体" w:hAnsi="宋体"/>
          <w:bCs/>
          <w:color w:val="000000"/>
        </w:rPr>
      </w:pPr>
      <w:bookmarkStart w:id="1133" w:name="_Toc349127617"/>
      <w:bookmarkStart w:id="1134" w:name="_Toc333935678"/>
      <w:bookmarkStart w:id="1135" w:name="_Toc341348329"/>
      <w:bookmarkStart w:id="1136" w:name="_Toc350756441"/>
      <w:bookmarkStart w:id="1137" w:name="_Toc374454591"/>
      <w:bookmarkStart w:id="1138" w:name="_Toc340677061"/>
      <w:bookmarkStart w:id="1139" w:name="_Toc345513858"/>
      <w:bookmarkStart w:id="1140" w:name="_Toc365967064"/>
      <w:bookmarkStart w:id="1141" w:name="_Toc339020006"/>
      <w:bookmarkStart w:id="1142" w:name="_Toc337632349"/>
      <w:bookmarkStart w:id="1143" w:name="_Toc503785420"/>
      <w:bookmarkStart w:id="1144" w:name="_Toc342296751"/>
      <w:bookmarkStart w:id="1145" w:name="_Toc332206699"/>
      <w:bookmarkStart w:id="1146" w:name="_Toc336681571"/>
      <w:bookmarkStart w:id="1147" w:name="_Toc349143580"/>
      <w:bookmarkStart w:id="1148" w:name="_Toc339020086"/>
      <w:bookmarkStart w:id="1149" w:name="_Toc366072519"/>
      <w:bookmarkStart w:id="1150" w:name="_Toc333935337"/>
      <w:bookmarkStart w:id="1151" w:name="_Toc365985170"/>
      <w:bookmarkStart w:id="1152" w:name="_Toc340507433"/>
      <w:bookmarkStart w:id="1153" w:name="_Toc340672860"/>
      <w:bookmarkStart w:id="1154" w:name="_Toc339362291"/>
      <w:bookmarkStart w:id="1155" w:name="_Toc339019880"/>
      <w:bookmarkStart w:id="1156" w:name="_Toc339020224"/>
      <w:bookmarkStart w:id="1157" w:name="_Toc497224218"/>
      <w:bookmarkStart w:id="1158" w:name="_Toc350438740"/>
      <w:bookmarkStart w:id="1159" w:name="_Toc332270337"/>
      <w:bookmarkStart w:id="1160" w:name="_Toc342060365"/>
      <w:bookmarkStart w:id="1161" w:name="_Toc330459976"/>
      <w:bookmarkStart w:id="1162" w:name="_Toc333237668"/>
      <w:bookmarkStart w:id="1163" w:name="_Toc333238624"/>
      <w:bookmarkStart w:id="1164" w:name="_Toc331684029"/>
      <w:bookmarkStart w:id="1165" w:name="_Toc331512889"/>
      <w:bookmarkStart w:id="1166" w:name="_Toc333237779"/>
      <w:bookmarkStart w:id="1167" w:name="_Toc339441078"/>
      <w:bookmarkStart w:id="1168" w:name="_Toc336681926"/>
      <w:r>
        <w:rPr>
          <w:rFonts w:hint="eastAsia" w:ascii="宋体" w:hAnsi="宋体"/>
          <w:bCs/>
          <w:color w:val="000000"/>
        </w:rPr>
        <w:t>18.3</w:t>
      </w:r>
      <w:r>
        <w:rPr>
          <w:rFonts w:hint="eastAsia" w:ascii="宋体" w:hAnsi="宋体"/>
          <w:bCs/>
          <w:color w:val="000000"/>
        </w:rPr>
        <w:tab/>
      </w:r>
      <w:r>
        <w:rPr>
          <w:rFonts w:hint="eastAsia" w:ascii="宋体" w:hAnsi="宋体"/>
          <w:bCs/>
          <w:color w:val="000000"/>
        </w:rPr>
        <w:t>集中采购机构于投标截止时间前30分钟开始接收投标文件，并于招标文件“第一部分投标邀请函”规定的开标时间、开标地点公开开标。</w:t>
      </w:r>
    </w:p>
    <w:p>
      <w:pPr>
        <w:pStyle w:val="6"/>
        <w:numPr>
          <w:ilvl w:val="4"/>
          <w:numId w:val="23"/>
        </w:numPr>
        <w:tabs>
          <w:tab w:val="left" w:pos="432"/>
          <w:tab w:val="left" w:pos="720"/>
        </w:tabs>
        <w:spacing w:before="240" w:after="120"/>
        <w:ind w:left="2432" w:hanging="2432"/>
      </w:pPr>
      <w:bookmarkStart w:id="1169" w:name="_Toc570"/>
      <w:bookmarkStart w:id="1170" w:name="_Toc9698"/>
      <w:bookmarkStart w:id="1171" w:name="_Toc408126455"/>
      <w:bookmarkStart w:id="1172" w:name="_Toc8593"/>
      <w:bookmarkStart w:id="1173" w:name="_Toc18533"/>
      <w:bookmarkStart w:id="1174" w:name="_Toc83905565"/>
      <w:bookmarkStart w:id="1175" w:name="_Toc20906"/>
      <w:bookmarkStart w:id="1176" w:name="_Toc8724"/>
      <w:bookmarkStart w:id="1177" w:name="_Toc12430"/>
      <w:bookmarkStart w:id="1178" w:name="_Toc49265628"/>
      <w:r>
        <w:rPr>
          <w:rFonts w:hint="eastAsia"/>
        </w:rPr>
        <w:t>迟交的投标文件</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pPr>
        <w:widowControl/>
        <w:tabs>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19</w:t>
      </w:r>
      <w:r>
        <w:rPr>
          <w:rFonts w:ascii="宋体"/>
          <w:bCs/>
          <w:color w:val="000000"/>
        </w:rPr>
        <w:t>.1</w:t>
      </w:r>
      <w:r>
        <w:rPr>
          <w:rFonts w:hint="eastAsia" w:ascii="宋体"/>
          <w:bCs/>
          <w:color w:val="000000"/>
        </w:rPr>
        <w:tab/>
      </w:r>
      <w:r>
        <w:rPr>
          <w:rFonts w:hint="eastAsia" w:ascii="宋体"/>
          <w:bCs/>
          <w:color w:val="000000"/>
        </w:rPr>
        <w:t>集中采购机构将拒绝在投标截止时间后递交的任何投标文件。</w:t>
      </w:r>
    </w:p>
    <w:p>
      <w:pPr>
        <w:pStyle w:val="6"/>
        <w:numPr>
          <w:ilvl w:val="4"/>
          <w:numId w:val="23"/>
        </w:numPr>
        <w:tabs>
          <w:tab w:val="left" w:pos="432"/>
          <w:tab w:val="left" w:pos="720"/>
        </w:tabs>
        <w:spacing w:before="240" w:after="120"/>
        <w:ind w:left="2432" w:hanging="2432"/>
      </w:pPr>
      <w:bookmarkStart w:id="1179" w:name="_Toc503785421"/>
      <w:bookmarkStart w:id="1180" w:name="_Toc497224219"/>
      <w:bookmarkStart w:id="1181" w:name="_Toc365985171"/>
      <w:bookmarkStart w:id="1182" w:name="_Toc333238625"/>
      <w:bookmarkStart w:id="1183" w:name="_Toc14932"/>
      <w:bookmarkStart w:id="1184" w:name="_Toc350756442"/>
      <w:bookmarkStart w:id="1185" w:name="_Toc350438741"/>
      <w:bookmarkStart w:id="1186" w:name="_Toc336681927"/>
      <w:bookmarkStart w:id="1187" w:name="_Toc49265629"/>
      <w:bookmarkStart w:id="1188" w:name="_Toc83905566"/>
      <w:bookmarkStart w:id="1189" w:name="_Toc333935338"/>
      <w:bookmarkStart w:id="1190" w:name="_Toc333237780"/>
      <w:bookmarkStart w:id="1191" w:name="_Toc340507434"/>
      <w:bookmarkStart w:id="1192" w:name="_Toc339019881"/>
      <w:bookmarkStart w:id="1193" w:name="_Toc339362292"/>
      <w:bookmarkStart w:id="1194" w:name="_Toc2665"/>
      <w:bookmarkStart w:id="1195" w:name="_Toc336681572"/>
      <w:bookmarkStart w:id="1196" w:name="_Toc25068"/>
      <w:bookmarkStart w:id="1197" w:name="_Toc331512890"/>
      <w:bookmarkStart w:id="1198" w:name="_Toc331684030"/>
      <w:bookmarkStart w:id="1199" w:name="_Toc340672861"/>
      <w:bookmarkStart w:id="1200" w:name="_Toc349127618"/>
      <w:bookmarkStart w:id="1201" w:name="_Toc408126456"/>
      <w:bookmarkStart w:id="1202" w:name="_Toc332206700"/>
      <w:bookmarkStart w:id="1203" w:name="_Toc365967065"/>
      <w:bookmarkStart w:id="1204" w:name="_Toc339020007"/>
      <w:bookmarkStart w:id="1205" w:name="_Toc339441079"/>
      <w:bookmarkStart w:id="1206" w:name="_Toc333935679"/>
      <w:bookmarkStart w:id="1207" w:name="_Toc340677062"/>
      <w:bookmarkStart w:id="1208" w:name="_Toc374454592"/>
      <w:bookmarkStart w:id="1209" w:name="_Toc330459977"/>
      <w:bookmarkStart w:id="1210" w:name="_Toc339020225"/>
      <w:bookmarkStart w:id="1211" w:name="_Toc349143581"/>
      <w:bookmarkStart w:id="1212" w:name="_Toc17064"/>
      <w:bookmarkStart w:id="1213" w:name="_Toc333237669"/>
      <w:bookmarkStart w:id="1214" w:name="_Toc341348330"/>
      <w:bookmarkStart w:id="1215" w:name="_Toc337632350"/>
      <w:bookmarkStart w:id="1216" w:name="_Toc20752"/>
      <w:bookmarkStart w:id="1217" w:name="_Toc339020087"/>
      <w:bookmarkStart w:id="1218" w:name="_Toc345513859"/>
      <w:bookmarkStart w:id="1219" w:name="_Toc22763"/>
      <w:bookmarkStart w:id="1220" w:name="_Toc2954"/>
      <w:bookmarkStart w:id="1221" w:name="_Toc332270338"/>
      <w:bookmarkStart w:id="1222" w:name="_Toc342060366"/>
      <w:bookmarkStart w:id="1223" w:name="_Toc366072520"/>
      <w:bookmarkStart w:id="1224" w:name="_Toc342296752"/>
      <w:r>
        <w:rPr>
          <w:rFonts w:hint="eastAsia"/>
        </w:rPr>
        <w:t>投标文件的修改和撤</w:t>
      </w:r>
      <w:bookmarkEnd w:id="1179"/>
      <w:bookmarkEnd w:id="1180"/>
      <w:r>
        <w:rPr>
          <w:rFonts w:hint="eastAsia"/>
        </w:rPr>
        <w:t>回</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.1</w:t>
      </w:r>
      <w:r>
        <w:rPr>
          <w:rFonts w:hint="eastAsia" w:ascii="宋体"/>
          <w:bCs/>
          <w:color w:val="000000"/>
        </w:rPr>
        <w:tab/>
      </w:r>
      <w:r>
        <w:rPr>
          <w:rFonts w:hint="eastAsia" w:ascii="宋体"/>
          <w:bCs/>
          <w:color w:val="000000"/>
        </w:rPr>
        <w:t>供应商在报价截止时间前，可以修改或撤回其报价文件。但必须在规定的报价截止时间之前以书面通知到集中采购机构，该通知须有供应商法定代表人或其授权代表签字。</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.2</w:t>
      </w:r>
      <w:r>
        <w:rPr>
          <w:rFonts w:hint="eastAsia" w:ascii="宋体"/>
          <w:bCs/>
          <w:color w:val="000000"/>
        </w:rPr>
        <w:tab/>
      </w:r>
      <w:r>
        <w:rPr>
          <w:rFonts w:hint="eastAsia" w:ascii="宋体"/>
          <w:bCs/>
          <w:color w:val="000000"/>
        </w:rPr>
        <w:t>供应商对投标文件修改的书面材料或撤销的通知应注明“修改投标文件”或“撤销投标”字样。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.3</w:t>
      </w:r>
      <w:r>
        <w:rPr>
          <w:rFonts w:hint="eastAsia" w:ascii="宋体"/>
          <w:bCs/>
          <w:color w:val="000000"/>
        </w:rPr>
        <w:tab/>
      </w:r>
      <w:r>
        <w:rPr>
          <w:rFonts w:hint="eastAsia" w:ascii="宋体"/>
          <w:bCs/>
          <w:color w:val="000000"/>
        </w:rPr>
        <w:t>在投标截止时间之后，供应商不得对其投标文件做任何修改。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.4</w:t>
      </w:r>
      <w:r>
        <w:rPr>
          <w:rFonts w:hint="eastAsia" w:ascii="宋体"/>
          <w:bCs/>
          <w:color w:val="000000"/>
        </w:rPr>
        <w:tab/>
      </w:r>
      <w:r>
        <w:rPr>
          <w:rFonts w:hint="eastAsia" w:ascii="宋体"/>
          <w:bCs/>
          <w:color w:val="000000"/>
        </w:rPr>
        <w:t>从投标截止时间至投标文件有效期期满之前，供应商不得撤回其投标，否则集中采购机构将按规定不予退还投标保证金。</w:t>
      </w:r>
    </w:p>
    <w:p>
      <w:pPr>
        <w:pStyle w:val="5"/>
        <w:numPr>
          <w:ilvl w:val="0"/>
          <w:numId w:val="0"/>
        </w:numPr>
        <w:rPr>
          <w:color w:val="000000"/>
          <w:sz w:val="24"/>
          <w:szCs w:val="24"/>
        </w:rPr>
      </w:pPr>
      <w:bookmarkStart w:id="1225" w:name="_Toc333238626"/>
      <w:bookmarkStart w:id="1226" w:name="_Toc503785422"/>
      <w:bookmarkStart w:id="1227" w:name="_Toc339362293"/>
      <w:bookmarkStart w:id="1228" w:name="_Toc336681928"/>
      <w:bookmarkStart w:id="1229" w:name="_Toc365967066"/>
      <w:bookmarkStart w:id="1230" w:name="_Toc342296753"/>
      <w:bookmarkStart w:id="1231" w:name="_Toc333935339"/>
      <w:bookmarkStart w:id="1232" w:name="_Toc333935680"/>
      <w:bookmarkStart w:id="1233" w:name="_Toc340507435"/>
      <w:bookmarkStart w:id="1234" w:name="_Toc349143582"/>
      <w:bookmarkStart w:id="1235" w:name="_Toc340677063"/>
      <w:bookmarkStart w:id="1236" w:name="_Toc337632351"/>
      <w:bookmarkStart w:id="1237" w:name="_Toc339020088"/>
      <w:bookmarkStart w:id="1238" w:name="_Toc339020008"/>
      <w:bookmarkStart w:id="1239" w:name="_Toc333237781"/>
      <w:bookmarkStart w:id="1240" w:name="_Toc333237670"/>
      <w:bookmarkStart w:id="1241" w:name="_Toc341348331"/>
      <w:bookmarkStart w:id="1242" w:name="_Toc349127619"/>
      <w:bookmarkStart w:id="1243" w:name="_Toc339441080"/>
      <w:bookmarkStart w:id="1244" w:name="_Toc342060367"/>
      <w:bookmarkStart w:id="1245" w:name="_Toc1684"/>
      <w:bookmarkStart w:id="1246" w:name="_Toc331684031"/>
      <w:bookmarkStart w:id="1247" w:name="_Toc14117"/>
      <w:bookmarkStart w:id="1248" w:name="_Toc6232"/>
      <w:bookmarkStart w:id="1249" w:name="_Toc345513860"/>
      <w:bookmarkStart w:id="1250" w:name="_Toc340672862"/>
      <w:bookmarkStart w:id="1251" w:name="_Toc332206701"/>
      <w:bookmarkStart w:id="1252" w:name="_Toc350756443"/>
      <w:bookmarkStart w:id="1253" w:name="_Toc336681573"/>
      <w:bookmarkStart w:id="1254" w:name="_Toc366072521"/>
      <w:bookmarkStart w:id="1255" w:name="_Toc3471"/>
      <w:bookmarkStart w:id="1256" w:name="_Toc365985172"/>
      <w:bookmarkStart w:id="1257" w:name="_Toc330459978"/>
      <w:bookmarkStart w:id="1258" w:name="_Toc408126457"/>
      <w:bookmarkStart w:id="1259" w:name="_Toc332270339"/>
      <w:bookmarkStart w:id="1260" w:name="_Toc83905567"/>
      <w:bookmarkStart w:id="1261" w:name="_Toc339020226"/>
      <w:bookmarkStart w:id="1262" w:name="_Toc49265630"/>
      <w:bookmarkStart w:id="1263" w:name="_Toc22810"/>
      <w:bookmarkStart w:id="1264" w:name="_Toc339019882"/>
      <w:bookmarkStart w:id="1265" w:name="_Toc497224220"/>
      <w:bookmarkStart w:id="1266" w:name="_Toc10213"/>
      <w:bookmarkStart w:id="1267" w:name="_Toc20723"/>
      <w:bookmarkStart w:id="1268" w:name="_Toc374454593"/>
      <w:bookmarkStart w:id="1269" w:name="_Toc331512891"/>
      <w:bookmarkStart w:id="1270" w:name="_Toc350438742"/>
      <w:r>
        <w:rPr>
          <w:rFonts w:hint="eastAsia"/>
          <w:color w:val="000000"/>
          <w:sz w:val="24"/>
          <w:szCs w:val="24"/>
        </w:rPr>
        <w:t>Ｅ</w:t>
      </w:r>
      <w:r>
        <w:rPr>
          <w:color w:val="000000"/>
          <w:sz w:val="24"/>
          <w:szCs w:val="24"/>
        </w:rPr>
        <w:t xml:space="preserve">  </w:t>
      </w:r>
      <w:r>
        <w:rPr>
          <w:rFonts w:hint="eastAsia"/>
          <w:color w:val="000000"/>
          <w:sz w:val="24"/>
          <w:szCs w:val="24"/>
        </w:rPr>
        <w:t>开标和评标</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pPr>
        <w:pStyle w:val="6"/>
        <w:numPr>
          <w:ilvl w:val="4"/>
          <w:numId w:val="23"/>
        </w:numPr>
        <w:tabs>
          <w:tab w:val="left" w:pos="432"/>
          <w:tab w:val="left" w:pos="720"/>
        </w:tabs>
        <w:spacing w:before="240" w:after="120"/>
        <w:ind w:left="2432" w:hanging="2432"/>
      </w:pPr>
      <w:bookmarkStart w:id="1271" w:name="_Toc350756444"/>
      <w:bookmarkStart w:id="1272" w:name="_Toc339362294"/>
      <w:bookmarkStart w:id="1273" w:name="_Toc408126458"/>
      <w:bookmarkStart w:id="1274" w:name="_Toc365967067"/>
      <w:bookmarkStart w:id="1275" w:name="_Toc19019"/>
      <w:bookmarkStart w:id="1276" w:name="_Toc330459979"/>
      <w:bookmarkStart w:id="1277" w:name="_Toc345513861"/>
      <w:bookmarkStart w:id="1278" w:name="_Toc28794"/>
      <w:bookmarkStart w:id="1279" w:name="_Toc331684032"/>
      <w:bookmarkStart w:id="1280" w:name="_Toc336681574"/>
      <w:bookmarkStart w:id="1281" w:name="_Toc349143583"/>
      <w:bookmarkStart w:id="1282" w:name="_Toc339020089"/>
      <w:bookmarkStart w:id="1283" w:name="_Toc339020009"/>
      <w:bookmarkStart w:id="1284" w:name="_Toc365985173"/>
      <w:bookmarkStart w:id="1285" w:name="_Toc331512892"/>
      <w:bookmarkStart w:id="1286" w:name="_Toc342296754"/>
      <w:bookmarkStart w:id="1287" w:name="_Toc332270340"/>
      <w:bookmarkStart w:id="1288" w:name="_Toc350438743"/>
      <w:bookmarkStart w:id="1289" w:name="_Toc83905568"/>
      <w:bookmarkStart w:id="1290" w:name="_Toc19327"/>
      <w:bookmarkStart w:id="1291" w:name="_Toc341348332"/>
      <w:bookmarkStart w:id="1292" w:name="_Toc497224221"/>
      <w:bookmarkStart w:id="1293" w:name="_Toc339019883"/>
      <w:bookmarkStart w:id="1294" w:name="_Toc340672863"/>
      <w:bookmarkStart w:id="1295" w:name="_Toc366072522"/>
      <w:bookmarkStart w:id="1296" w:name="_Toc49265631"/>
      <w:bookmarkStart w:id="1297" w:name="_Toc333237782"/>
      <w:bookmarkStart w:id="1298" w:name="_Toc339441081"/>
      <w:bookmarkStart w:id="1299" w:name="_Toc2973"/>
      <w:bookmarkStart w:id="1300" w:name="_Toc340677064"/>
      <w:bookmarkStart w:id="1301" w:name="_Toc503785423"/>
      <w:bookmarkStart w:id="1302" w:name="_Toc340507436"/>
      <w:bookmarkStart w:id="1303" w:name="_Toc333238627"/>
      <w:bookmarkStart w:id="1304" w:name="_Toc339020227"/>
      <w:bookmarkStart w:id="1305" w:name="_Toc342060368"/>
      <w:bookmarkStart w:id="1306" w:name="_Toc18931"/>
      <w:bookmarkStart w:id="1307" w:name="_Toc333237671"/>
      <w:bookmarkStart w:id="1308" w:name="_Toc333935340"/>
      <w:bookmarkStart w:id="1309" w:name="_Toc337632352"/>
      <w:bookmarkStart w:id="1310" w:name="_Toc336681929"/>
      <w:bookmarkStart w:id="1311" w:name="_Toc333935681"/>
      <w:bookmarkStart w:id="1312" w:name="_Toc332206702"/>
      <w:bookmarkStart w:id="1313" w:name="_Toc349127620"/>
      <w:bookmarkStart w:id="1314" w:name="_Toc9792"/>
      <w:bookmarkStart w:id="1315" w:name="_Toc11123"/>
      <w:bookmarkStart w:id="1316" w:name="_Toc374454594"/>
      <w:r>
        <w:rPr>
          <w:rFonts w:hint="eastAsia"/>
        </w:rPr>
        <w:t>开标</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.1</w:t>
      </w:r>
      <w:r>
        <w:rPr>
          <w:rFonts w:hint="eastAsia" w:ascii="宋体" w:hAnsi="宋体"/>
          <w:bCs/>
          <w:color w:val="000000"/>
        </w:rPr>
        <w:tab/>
      </w:r>
      <w:r>
        <w:rPr>
          <w:rFonts w:hint="eastAsia" w:ascii="宋体" w:hAnsi="宋体"/>
          <w:bCs/>
          <w:color w:val="000000"/>
        </w:rPr>
        <w:t>集中采购机构在招标文件中规定的时间和地点公开开标。开标会由集中采购机构主持。供应商代表均需按时参加开标会。参加开标的供应商代表应签名报到以证明其出席。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.2</w:t>
      </w:r>
      <w:r>
        <w:rPr>
          <w:rFonts w:hint="eastAsia" w:ascii="宋体" w:hAnsi="宋体"/>
          <w:bCs/>
          <w:color w:val="000000"/>
        </w:rPr>
        <w:tab/>
      </w:r>
      <w:r>
        <w:rPr>
          <w:rFonts w:hint="eastAsia" w:ascii="宋体" w:hAnsi="宋体"/>
          <w:bCs/>
          <w:color w:val="000000"/>
        </w:rPr>
        <w:t>开标时，由政府采购监督员或供应商代表检查投标文件的密封情况，并宣布检查结果，经确认无误后，由工作人员当众拆封唱标。唱标主要内容为投标文件正本中的“开标一览表”的内容以及集中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21.4</w:t>
      </w:r>
      <w:r>
        <w:rPr>
          <w:rFonts w:hint="eastAsia" w:ascii="宋体" w:hAnsi="宋体"/>
          <w:bCs/>
          <w:color w:val="000000"/>
        </w:rPr>
        <w:tab/>
      </w:r>
      <w:r>
        <w:rPr>
          <w:rFonts w:hint="eastAsia" w:ascii="宋体" w:hAnsi="宋体"/>
          <w:bCs/>
          <w:color w:val="000000"/>
        </w:rPr>
        <w:t>唱标结束后，集中采购机构将做唱标记录，并由集中采购机构代表、投标人代表、监督员等在唱标记录上签字。</w:t>
      </w:r>
    </w:p>
    <w:p>
      <w:pPr>
        <w:pStyle w:val="6"/>
        <w:numPr>
          <w:ilvl w:val="4"/>
          <w:numId w:val="23"/>
        </w:numPr>
        <w:tabs>
          <w:tab w:val="left" w:pos="432"/>
          <w:tab w:val="left" w:pos="720"/>
        </w:tabs>
        <w:spacing w:before="240" w:after="120"/>
        <w:ind w:left="2432" w:hanging="2432"/>
      </w:pPr>
      <w:bookmarkStart w:id="1317" w:name="_Toc21614"/>
      <w:bookmarkStart w:id="1318" w:name="_Toc408126459"/>
      <w:bookmarkStart w:id="1319" w:name="_Toc503785424"/>
      <w:bookmarkStart w:id="1320" w:name="_Toc20743"/>
      <w:bookmarkStart w:id="1321" w:name="_Toc340677065"/>
      <w:bookmarkStart w:id="1322" w:name="_Toc341348333"/>
      <w:bookmarkStart w:id="1323" w:name="_Toc342060369"/>
      <w:bookmarkStart w:id="1324" w:name="_Toc339020228"/>
      <w:bookmarkStart w:id="1325" w:name="_Toc331684033"/>
      <w:bookmarkStart w:id="1326" w:name="_Toc349143584"/>
      <w:bookmarkStart w:id="1327" w:name="_Toc350438744"/>
      <w:bookmarkStart w:id="1328" w:name="_Toc365967068"/>
      <w:bookmarkStart w:id="1329" w:name="_Toc336681930"/>
      <w:bookmarkStart w:id="1330" w:name="_Toc350756445"/>
      <w:bookmarkStart w:id="1331" w:name="_Toc330459980"/>
      <w:bookmarkStart w:id="1332" w:name="_Toc365985174"/>
      <w:bookmarkStart w:id="1333" w:name="_Toc333237672"/>
      <w:bookmarkStart w:id="1334" w:name="_Toc331512893"/>
      <w:bookmarkStart w:id="1335" w:name="_Toc17996"/>
      <w:bookmarkStart w:id="1336" w:name="_Toc497224222"/>
      <w:bookmarkStart w:id="1337" w:name="_Toc332270341"/>
      <w:bookmarkStart w:id="1338" w:name="_Toc27349"/>
      <w:bookmarkStart w:id="1339" w:name="_Toc340672864"/>
      <w:bookmarkStart w:id="1340" w:name="_Toc374454595"/>
      <w:bookmarkStart w:id="1341" w:name="_Toc332206703"/>
      <w:bookmarkStart w:id="1342" w:name="_Toc49265632"/>
      <w:bookmarkStart w:id="1343" w:name="_Toc11291"/>
      <w:bookmarkStart w:id="1344" w:name="_Toc337632353"/>
      <w:bookmarkStart w:id="1345" w:name="_Toc83905569"/>
      <w:bookmarkStart w:id="1346" w:name="_Toc333237783"/>
      <w:bookmarkStart w:id="1347" w:name="_Toc333935341"/>
      <w:bookmarkStart w:id="1348" w:name="_Toc27769"/>
      <w:bookmarkStart w:id="1349" w:name="_Toc342296755"/>
      <w:bookmarkStart w:id="1350" w:name="_Toc366072523"/>
      <w:bookmarkStart w:id="1351" w:name="_Toc336681575"/>
      <w:bookmarkStart w:id="1352" w:name="_Toc339019884"/>
      <w:bookmarkStart w:id="1353" w:name="_Toc340507437"/>
      <w:bookmarkStart w:id="1354" w:name="_Toc333238628"/>
      <w:bookmarkStart w:id="1355" w:name="_Toc345513862"/>
      <w:bookmarkStart w:id="1356" w:name="_Toc339362295"/>
      <w:bookmarkStart w:id="1357" w:name="_Toc339020090"/>
      <w:bookmarkStart w:id="1358" w:name="_Toc23630"/>
      <w:bookmarkStart w:id="1359" w:name="_Toc339441082"/>
      <w:bookmarkStart w:id="1360" w:name="_Toc333935682"/>
      <w:bookmarkStart w:id="1361" w:name="_Toc349127621"/>
      <w:bookmarkStart w:id="1362" w:name="_Toc339020010"/>
      <w:r>
        <w:rPr>
          <w:rFonts w:hint="eastAsia"/>
        </w:rPr>
        <w:t>评标委员会</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22.1</w:t>
      </w:r>
      <w:r>
        <w:rPr>
          <w:rFonts w:hint="eastAsia" w:ascii="宋体"/>
          <w:bCs/>
          <w:color w:val="000000"/>
        </w:rPr>
        <w:tab/>
      </w:r>
      <w:r>
        <w:rPr>
          <w:rFonts w:hint="eastAsia" w:ascii="宋体"/>
          <w:bCs/>
          <w:color w:val="000000"/>
        </w:rPr>
        <w:t>评标由采购人依法组建的评标委员会负责，其成员由采购人代表及有关技术、经济等方面的专家共</w:t>
      </w:r>
      <w:r>
        <w:rPr>
          <w:rFonts w:hint="eastAsia" w:ascii="宋体"/>
          <w:bCs/>
          <w:color w:val="000000"/>
          <w:lang w:val="en-US" w:eastAsia="zh-CN"/>
        </w:rPr>
        <w:t>三</w:t>
      </w:r>
      <w:r>
        <w:rPr>
          <w:rFonts w:hint="eastAsia" w:ascii="宋体"/>
          <w:bCs/>
          <w:color w:val="000000"/>
        </w:rPr>
        <w:t>人组成，其中技术、经济等方面的专家不少于成员总数的三分之二。</w:t>
      </w:r>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w:t>
      </w:r>
      <w:r>
        <w:rPr>
          <w:rFonts w:hint="eastAsia" w:ascii="宋体" w:hAnsi="宋体"/>
          <w:bCs/>
          <w:color w:val="000000"/>
        </w:rPr>
        <w:t>2</w:t>
      </w:r>
      <w:r>
        <w:rPr>
          <w:rFonts w:ascii="宋体" w:hAnsi="宋体"/>
          <w:bCs/>
          <w:color w:val="000000"/>
        </w:rPr>
        <w:t>.2</w:t>
      </w:r>
      <w:r>
        <w:rPr>
          <w:rFonts w:hint="eastAsia" w:ascii="宋体"/>
          <w:bCs/>
          <w:color w:val="000000"/>
        </w:rPr>
        <w:tab/>
      </w:r>
      <w:r>
        <w:rPr>
          <w:rFonts w:hint="eastAsia" w:ascii="宋体"/>
          <w:bCs/>
          <w:color w:val="000000"/>
        </w:rPr>
        <w:t>评标专家由政府采购管理部门按照法律程序依据本次采购活动的特点和需要在政府指定的专家库中随机抽取产生。</w:t>
      </w:r>
    </w:p>
    <w:p>
      <w:pPr>
        <w:pStyle w:val="6"/>
        <w:numPr>
          <w:ilvl w:val="4"/>
          <w:numId w:val="23"/>
        </w:numPr>
        <w:tabs>
          <w:tab w:val="left" w:pos="432"/>
          <w:tab w:val="left" w:pos="720"/>
        </w:tabs>
        <w:spacing w:before="240" w:after="120"/>
        <w:ind w:left="2432" w:hanging="2432"/>
      </w:pPr>
      <w:bookmarkStart w:id="1363" w:name="_Toc7747"/>
      <w:bookmarkStart w:id="1364" w:name="_Toc333237673"/>
      <w:bookmarkStart w:id="1365" w:name="_Toc332270342"/>
      <w:bookmarkStart w:id="1366" w:name="_Toc341348334"/>
      <w:bookmarkStart w:id="1367" w:name="_Toc16371"/>
      <w:bookmarkStart w:id="1368" w:name="_Toc333237784"/>
      <w:bookmarkStart w:id="1369" w:name="_Toc12946"/>
      <w:bookmarkStart w:id="1370" w:name="_Toc365967069"/>
      <w:bookmarkStart w:id="1371" w:name="_Toc333238629"/>
      <w:bookmarkStart w:id="1372" w:name="_Toc339020229"/>
      <w:bookmarkStart w:id="1373" w:name="_Toc340672865"/>
      <w:bookmarkStart w:id="1374" w:name="_Toc349127622"/>
      <w:bookmarkStart w:id="1375" w:name="_Toc366072524"/>
      <w:bookmarkStart w:id="1376" w:name="_Toc20827"/>
      <w:bookmarkStart w:id="1377" w:name="_Toc345513863"/>
      <w:bookmarkStart w:id="1378" w:name="_Toc342296756"/>
      <w:bookmarkStart w:id="1379" w:name="_Toc503785425"/>
      <w:bookmarkStart w:id="1380" w:name="_Toc340677066"/>
      <w:bookmarkStart w:id="1381" w:name="_Toc339020091"/>
      <w:bookmarkStart w:id="1382" w:name="_Toc336681576"/>
      <w:bookmarkStart w:id="1383" w:name="_Toc350756446"/>
      <w:bookmarkStart w:id="1384" w:name="_Toc339020011"/>
      <w:bookmarkStart w:id="1385" w:name="_Toc350438745"/>
      <w:bookmarkStart w:id="1386" w:name="_Toc333935683"/>
      <w:bookmarkStart w:id="1387" w:name="_Toc337632354"/>
      <w:bookmarkStart w:id="1388" w:name="_Toc374454596"/>
      <w:bookmarkStart w:id="1389" w:name="_Toc349143585"/>
      <w:bookmarkStart w:id="1390" w:name="_Toc331684034"/>
      <w:bookmarkStart w:id="1391" w:name="_Toc339441083"/>
      <w:bookmarkStart w:id="1392" w:name="_Toc28175"/>
      <w:bookmarkStart w:id="1393" w:name="_Toc83905570"/>
      <w:bookmarkStart w:id="1394" w:name="_Toc6625"/>
      <w:bookmarkStart w:id="1395" w:name="_Toc331512894"/>
      <w:bookmarkStart w:id="1396" w:name="_Toc49265633"/>
      <w:bookmarkStart w:id="1397" w:name="_Toc330459981"/>
      <w:bookmarkStart w:id="1398" w:name="_Toc340507438"/>
      <w:bookmarkStart w:id="1399" w:name="_Toc336681931"/>
      <w:bookmarkStart w:id="1400" w:name="_Toc333935342"/>
      <w:bookmarkStart w:id="1401" w:name="_Toc1841"/>
      <w:bookmarkStart w:id="1402" w:name="_Toc339362296"/>
      <w:bookmarkStart w:id="1403" w:name="_Toc342060370"/>
      <w:bookmarkStart w:id="1404" w:name="_Toc339019885"/>
      <w:bookmarkStart w:id="1405" w:name="_Toc365985175"/>
      <w:bookmarkStart w:id="1406" w:name="_Toc408126460"/>
      <w:bookmarkStart w:id="1407" w:name="_Toc332206704"/>
      <w:bookmarkStart w:id="1408" w:name="_Toc497224223"/>
      <w:r>
        <w:rPr>
          <w:rFonts w:hint="eastAsia"/>
        </w:rPr>
        <w:t>对投标文件的初审和响应性的确定</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.1</w:t>
      </w:r>
      <w:r>
        <w:rPr>
          <w:rFonts w:hint="eastAsia" w:ascii="宋体"/>
          <w:bCs/>
          <w:color w:val="000000"/>
        </w:rPr>
        <w:tab/>
      </w:r>
      <w:r>
        <w:rPr>
          <w:rFonts w:hint="eastAsia" w:ascii="宋体"/>
          <w:bCs/>
          <w:color w:val="000000"/>
        </w:rPr>
        <w:t>开标后，评标委员会将组织审查投标文件是否完整，文件签署是否合格，证明文件是否齐全等。</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23.2   同一品牌产品只能由一家供应商参加。如果有多家代理商参加同一品牌产品投标的，应当作为一个供应商计算。</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3</w:t>
      </w:r>
      <w:r>
        <w:rPr>
          <w:rFonts w:hint="eastAsia" w:ascii="宋体"/>
          <w:bCs/>
          <w:color w:val="000000"/>
        </w:rPr>
        <w:tab/>
      </w:r>
      <w:r>
        <w:rPr>
          <w:rFonts w:hint="eastAsia" w:ascii="宋体"/>
          <w:bCs/>
          <w:color w:val="000000"/>
        </w:rPr>
        <w:tab/>
      </w:r>
      <w:r>
        <w:rPr>
          <w:rFonts w:hint="eastAsia" w:ascii="宋体"/>
          <w:bCs/>
          <w:color w:val="000000"/>
        </w:rPr>
        <w:t>评标委员会将确定每一投标是否对招标文件的要求做出了实质性的响应，而没有重大偏离。实质性响应的投标是指投标符合招标文件的所有条款、条件和规定且没有重大偏离或保留。重大偏离或保留系指影响到招标文件规定的供货范围、质量和性能，或限制了买方的权力和供应商的义务的规定，而纠正这些偏离将影响到其它提交实质性响应投标的供应商的公平竞争地位。</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ab/>
      </w:r>
      <w:r>
        <w:rPr>
          <w:rFonts w:hint="eastAsia" w:ascii="宋体"/>
          <w:bCs/>
          <w:color w:val="000000"/>
        </w:rPr>
        <w:t>评标委员会将拒绝被确定为非实质性响应的投标，供应商不能通过修正或撤销不符之处而使其投标成为实质性响应的投标。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5</w:t>
      </w:r>
      <w:r>
        <w:rPr>
          <w:rFonts w:hint="eastAsia" w:ascii="宋体"/>
          <w:bCs/>
          <w:color w:val="000000"/>
        </w:rPr>
        <w:tab/>
      </w:r>
      <w:r>
        <w:rPr>
          <w:rFonts w:hint="eastAsia" w:ascii="宋体" w:hAnsi="宋体"/>
          <w:bCs/>
          <w:color w:val="000000"/>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rPr>
      </w:pPr>
      <w:r>
        <w:rPr>
          <w:rFonts w:hint="eastAsia" w:ascii="宋体" w:hAnsi="宋体"/>
          <w:bCs/>
          <w:color w:val="000000"/>
        </w:rPr>
        <w:t>资格审查结果为不合格的；</w:t>
      </w:r>
    </w:p>
    <w:p>
      <w:pPr>
        <w:numPr>
          <w:ilvl w:val="0"/>
          <w:numId w:val="28"/>
        </w:numPr>
        <w:adjustRightInd w:val="0"/>
        <w:snapToGrid w:val="0"/>
        <w:spacing w:line="360" w:lineRule="auto"/>
        <w:ind w:left="1077" w:hanging="357"/>
        <w:rPr>
          <w:rFonts w:ascii="宋体" w:hAnsi="宋体"/>
          <w:bCs/>
          <w:color w:val="000000"/>
        </w:rPr>
      </w:pPr>
      <w:r>
        <w:rPr>
          <w:rFonts w:hint="eastAsia" w:ascii="宋体" w:hAnsi="宋体"/>
          <w:bCs/>
          <w:color w:val="000000"/>
        </w:rPr>
        <w:t>供应商未提交投标保证金或投标保证金金额不足或无效的；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rPr>
      </w:pPr>
      <w:r>
        <w:rPr>
          <w:rFonts w:hint="eastAsia" w:ascii="宋体" w:hAnsi="宋体"/>
          <w:bCs/>
          <w:color w:val="000000"/>
        </w:rPr>
        <w:t>投标函</w:t>
      </w:r>
      <w:r>
        <w:rPr>
          <w:rFonts w:ascii="宋体" w:hAnsi="宋体"/>
          <w:bCs/>
          <w:color w:val="000000"/>
        </w:rPr>
        <w:t>未加盖</w:t>
      </w:r>
      <w:r>
        <w:rPr>
          <w:rFonts w:hint="eastAsia" w:ascii="宋体" w:hAnsi="宋体"/>
          <w:bCs/>
          <w:color w:val="000000"/>
        </w:rPr>
        <w:t>供应商</w:t>
      </w:r>
      <w:r>
        <w:rPr>
          <w:rFonts w:ascii="宋体" w:hAnsi="宋体"/>
          <w:bCs/>
          <w:color w:val="000000"/>
        </w:rPr>
        <w:t>公章</w:t>
      </w:r>
      <w:r>
        <w:rPr>
          <w:rFonts w:hint="eastAsia" w:ascii="宋体" w:hAnsi="宋体"/>
          <w:bCs/>
          <w:color w:val="000000"/>
        </w:rPr>
        <w:t>或</w:t>
      </w:r>
      <w:r>
        <w:rPr>
          <w:rFonts w:ascii="宋体" w:hAnsi="宋体"/>
          <w:bCs/>
          <w:color w:val="000000"/>
        </w:rPr>
        <w:t>未有法定代表人或者被授权人签名的；</w:t>
      </w:r>
    </w:p>
    <w:p>
      <w:pPr>
        <w:numPr>
          <w:ilvl w:val="0"/>
          <w:numId w:val="28"/>
        </w:numPr>
        <w:adjustRightInd w:val="0"/>
        <w:snapToGrid w:val="0"/>
        <w:spacing w:line="360" w:lineRule="auto"/>
        <w:ind w:left="1077" w:hanging="357"/>
        <w:rPr>
          <w:rFonts w:ascii="宋体" w:hAnsi="宋体"/>
          <w:bCs/>
          <w:color w:val="000000"/>
        </w:rPr>
      </w:pPr>
      <w:r>
        <w:rPr>
          <w:rFonts w:hint="eastAsia" w:ascii="宋体" w:hAnsi="宋体"/>
          <w:bCs/>
          <w:color w:val="000000"/>
        </w:rPr>
        <w:t>未按招标文件规定格式填写或者字迹模糊不清或未胶装成册的；</w:t>
      </w:r>
    </w:p>
    <w:p>
      <w:pPr>
        <w:numPr>
          <w:ilvl w:val="0"/>
          <w:numId w:val="28"/>
        </w:numPr>
        <w:adjustRightInd w:val="0"/>
        <w:snapToGrid w:val="0"/>
        <w:spacing w:line="360" w:lineRule="auto"/>
        <w:ind w:left="1077" w:hanging="357"/>
        <w:rPr>
          <w:rFonts w:ascii="宋体" w:hAnsi="宋体"/>
          <w:bCs/>
          <w:color w:val="000000"/>
        </w:rPr>
      </w:pPr>
      <w:r>
        <w:rPr>
          <w:rFonts w:hint="eastAsia" w:ascii="宋体" w:hAnsi="宋体"/>
          <w:bCs/>
          <w:color w:val="000000"/>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rPr>
      </w:pPr>
      <w:r>
        <w:rPr>
          <w:rFonts w:hint="eastAsia" w:ascii="宋体" w:hAnsi="宋体"/>
          <w:bCs/>
          <w:color w:val="000000"/>
        </w:rPr>
        <w:t xml:space="preserve">投标文件载明的招标项目完工期超过招标文件规定的期限，或服务期不满足招标文件规定要求的；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rPr>
      </w:pPr>
      <w:r>
        <w:rPr>
          <w:rFonts w:hint="eastAsia" w:ascii="宋体" w:hAnsi="宋体"/>
          <w:color w:val="000000"/>
        </w:rPr>
        <w:t>投标有效期不足的；</w:t>
      </w:r>
    </w:p>
    <w:p>
      <w:pPr>
        <w:numPr>
          <w:ilvl w:val="0"/>
          <w:numId w:val="28"/>
        </w:numPr>
        <w:adjustRightInd w:val="0"/>
        <w:snapToGrid w:val="0"/>
        <w:spacing w:line="360" w:lineRule="auto"/>
        <w:ind w:left="1077" w:hanging="357"/>
        <w:rPr>
          <w:rFonts w:ascii="宋体" w:hAnsi="宋体"/>
          <w:color w:val="000000"/>
        </w:rPr>
      </w:pPr>
      <w:r>
        <w:rPr>
          <w:rFonts w:hint="eastAsia" w:ascii="宋体" w:hAnsi="宋体"/>
          <w:color w:val="000000"/>
        </w:rPr>
        <w:t>投标文件附有采购人或集中采购机构不能接受的条件的；</w:t>
      </w:r>
    </w:p>
    <w:p>
      <w:pPr>
        <w:numPr>
          <w:ilvl w:val="0"/>
          <w:numId w:val="28"/>
        </w:numPr>
        <w:adjustRightInd w:val="0"/>
        <w:snapToGrid w:val="0"/>
        <w:spacing w:line="360" w:lineRule="auto"/>
        <w:ind w:left="1077" w:hanging="357"/>
        <w:rPr>
          <w:rFonts w:ascii="宋体" w:hAnsi="宋体"/>
          <w:color w:val="000000"/>
        </w:rPr>
      </w:pPr>
      <w:r>
        <w:rPr>
          <w:rFonts w:hint="eastAsia" w:ascii="宋体" w:hAnsi="宋体"/>
          <w:color w:val="000000"/>
        </w:rPr>
        <w:t>招标文件规定的其他实质性要求的；</w:t>
      </w:r>
    </w:p>
    <w:p>
      <w:pPr>
        <w:numPr>
          <w:ilvl w:val="0"/>
          <w:numId w:val="28"/>
        </w:numPr>
        <w:adjustRightInd w:val="0"/>
        <w:snapToGrid w:val="0"/>
        <w:spacing w:line="360" w:lineRule="auto"/>
        <w:ind w:left="1077" w:hanging="357"/>
        <w:rPr>
          <w:rFonts w:ascii="宋体" w:hAnsi="宋体"/>
          <w:color w:val="000000"/>
        </w:rPr>
      </w:pPr>
      <w:r>
        <w:rPr>
          <w:rFonts w:hint="eastAsia" w:ascii="宋体" w:hAnsi="宋体"/>
          <w:color w:val="000000"/>
        </w:rPr>
        <w:t>法律、法规规定的其他废标条款。</w:t>
      </w:r>
    </w:p>
    <w:p>
      <w:pPr>
        <w:pStyle w:val="6"/>
        <w:numPr>
          <w:ilvl w:val="4"/>
          <w:numId w:val="23"/>
        </w:numPr>
        <w:tabs>
          <w:tab w:val="left" w:pos="432"/>
          <w:tab w:val="left" w:pos="720"/>
        </w:tabs>
        <w:spacing w:before="240" w:after="120"/>
        <w:ind w:left="2432" w:hanging="2432"/>
      </w:pPr>
      <w:bookmarkStart w:id="1409" w:name="_Toc408126461"/>
      <w:bookmarkStart w:id="1410" w:name="_Toc49265634"/>
      <w:bookmarkStart w:id="1411" w:name="_Toc349127623"/>
      <w:bookmarkStart w:id="1412" w:name="_Toc25198"/>
      <w:bookmarkStart w:id="1413" w:name="_Toc341348335"/>
      <w:bookmarkStart w:id="1414" w:name="_Toc345513864"/>
      <w:bookmarkStart w:id="1415" w:name="_Toc339362297"/>
      <w:bookmarkStart w:id="1416" w:name="_Toc339020230"/>
      <w:bookmarkStart w:id="1417" w:name="_Toc23570"/>
      <w:bookmarkStart w:id="1418" w:name="_Toc332270343"/>
      <w:bookmarkStart w:id="1419" w:name="_Toc339441084"/>
      <w:bookmarkStart w:id="1420" w:name="_Toc374454597"/>
      <w:bookmarkStart w:id="1421" w:name="_Toc339019886"/>
      <w:bookmarkStart w:id="1422" w:name="_Toc350756447"/>
      <w:bookmarkStart w:id="1423" w:name="_Toc333935343"/>
      <w:bookmarkStart w:id="1424" w:name="_Toc24750"/>
      <w:bookmarkStart w:id="1425" w:name="_Toc339020092"/>
      <w:bookmarkStart w:id="1426" w:name="_Toc340507439"/>
      <w:bookmarkStart w:id="1427" w:name="_Toc336681932"/>
      <w:bookmarkStart w:id="1428" w:name="_Toc333237785"/>
      <w:bookmarkStart w:id="1429" w:name="_Toc333237674"/>
      <w:bookmarkStart w:id="1430" w:name="_Toc366072525"/>
      <w:bookmarkStart w:id="1431" w:name="_Toc332206705"/>
      <w:bookmarkStart w:id="1432" w:name="_Toc333935684"/>
      <w:bookmarkStart w:id="1433" w:name="_Toc336681577"/>
      <w:bookmarkStart w:id="1434" w:name="_Toc13931"/>
      <w:bookmarkStart w:id="1435" w:name="_Toc9828"/>
      <w:bookmarkStart w:id="1436" w:name="_Toc337632355"/>
      <w:bookmarkStart w:id="1437" w:name="_Toc333238630"/>
      <w:bookmarkStart w:id="1438" w:name="_Toc330459982"/>
      <w:bookmarkStart w:id="1439" w:name="_Toc16712"/>
      <w:bookmarkStart w:id="1440" w:name="_Toc342296757"/>
      <w:bookmarkStart w:id="1441" w:name="_Toc83905571"/>
      <w:bookmarkStart w:id="1442" w:name="_Toc340677067"/>
      <w:bookmarkStart w:id="1443" w:name="_Toc350438746"/>
      <w:bookmarkStart w:id="1444" w:name="_Toc342060371"/>
      <w:bookmarkStart w:id="1445" w:name="_Toc365967070"/>
      <w:bookmarkStart w:id="1446" w:name="_Toc339020012"/>
      <w:bookmarkStart w:id="1447" w:name="_Toc331512895"/>
      <w:bookmarkStart w:id="1448" w:name="_Toc340672866"/>
      <w:bookmarkStart w:id="1449" w:name="_Toc365985176"/>
      <w:bookmarkStart w:id="1450" w:name="_Toc349143586"/>
      <w:bookmarkStart w:id="1451" w:name="_Toc331684035"/>
      <w:r>
        <w:rPr>
          <w:rFonts w:hint="eastAsia"/>
        </w:rPr>
        <w:t>投标报价的审核</w:t>
      </w:r>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24.1</w:t>
      </w:r>
      <w:r>
        <w:rPr>
          <w:rFonts w:hint="eastAsia" w:ascii="宋体" w:hAnsi="宋体"/>
          <w:bCs/>
          <w:color w:val="000000"/>
        </w:rPr>
        <w:tab/>
      </w:r>
      <w:r>
        <w:rPr>
          <w:rFonts w:hint="eastAsia" w:ascii="宋体" w:hAnsi="宋体"/>
          <w:bCs/>
          <w:color w:val="000000"/>
        </w:rPr>
        <w:t>供应商的报价应是真实、合理和全面的报价。供应商应该公平竞争，合理报价。评标委员会有权对供应商的任何报价进行单项分析与澄清。任何虚假不实的报价，一经确认，将导致供应商的投标保证金不予退及供应商作无效投标处理。</w:t>
      </w:r>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24.2   在供应商的投标报价中，</w:t>
      </w:r>
      <w:r>
        <w:rPr>
          <w:rFonts w:hint="eastAsia" w:ascii="宋体" w:hAnsi="宋体"/>
          <w:color w:val="000000"/>
        </w:rPr>
        <w:t>若大写和小写表示的金额之间有不一致的，则以大写金额为准，并对小写金额作相应的修正。</w:t>
      </w:r>
    </w:p>
    <w:p>
      <w:pPr>
        <w:pStyle w:val="6"/>
        <w:numPr>
          <w:ilvl w:val="4"/>
          <w:numId w:val="23"/>
        </w:numPr>
        <w:tabs>
          <w:tab w:val="left" w:pos="432"/>
          <w:tab w:val="left" w:pos="720"/>
        </w:tabs>
        <w:spacing w:before="240" w:after="120"/>
        <w:ind w:left="2432" w:hanging="2432"/>
      </w:pPr>
      <w:bookmarkStart w:id="1452" w:name="_Toc331512896"/>
      <w:bookmarkStart w:id="1453" w:name="_Toc83905572"/>
      <w:bookmarkStart w:id="1454" w:name="_Toc29657"/>
      <w:bookmarkStart w:id="1455" w:name="_Toc339019887"/>
      <w:bookmarkStart w:id="1456" w:name="_Toc49265635"/>
      <w:bookmarkStart w:id="1457" w:name="_Toc5531"/>
      <w:bookmarkStart w:id="1458" w:name="_Toc5720"/>
      <w:bookmarkStart w:id="1459" w:name="_Toc330459983"/>
      <w:bookmarkStart w:id="1460" w:name="_Toc21582"/>
      <w:bookmarkStart w:id="1461" w:name="_Toc339362298"/>
      <w:bookmarkStart w:id="1462" w:name="_Toc331684036"/>
      <w:bookmarkStart w:id="1463" w:name="_Toc336681578"/>
      <w:bookmarkStart w:id="1464" w:name="_Toc332206706"/>
      <w:bookmarkStart w:id="1465" w:name="_Toc349143587"/>
      <w:bookmarkStart w:id="1466" w:name="_Toc408126462"/>
      <w:bookmarkStart w:id="1467" w:name="_Toc333237786"/>
      <w:bookmarkStart w:id="1468" w:name="_Toc350438747"/>
      <w:bookmarkStart w:id="1469" w:name="_Toc333238631"/>
      <w:bookmarkStart w:id="1470" w:name="_Toc345513865"/>
      <w:bookmarkStart w:id="1471" w:name="_Toc332270344"/>
      <w:bookmarkStart w:id="1472" w:name="_Toc333237675"/>
      <w:bookmarkStart w:id="1473" w:name="_Toc365967071"/>
      <w:bookmarkStart w:id="1474" w:name="_Toc350756448"/>
      <w:bookmarkStart w:id="1475" w:name="_Toc339020093"/>
      <w:bookmarkStart w:id="1476" w:name="_Toc340507440"/>
      <w:bookmarkStart w:id="1477" w:name="_Toc366072526"/>
      <w:bookmarkStart w:id="1478" w:name="_Toc503785426"/>
      <w:bookmarkStart w:id="1479" w:name="_Toc339441085"/>
      <w:bookmarkStart w:id="1480" w:name="_Toc365985177"/>
      <w:bookmarkStart w:id="1481" w:name="_Toc29766"/>
      <w:bookmarkStart w:id="1482" w:name="_Toc333935344"/>
      <w:bookmarkStart w:id="1483" w:name="_Toc497224224"/>
      <w:bookmarkStart w:id="1484" w:name="_Toc339020013"/>
      <w:bookmarkStart w:id="1485" w:name="_Toc342060372"/>
      <w:bookmarkStart w:id="1486" w:name="_Toc27249"/>
      <w:bookmarkStart w:id="1487" w:name="_Toc340677068"/>
      <w:bookmarkStart w:id="1488" w:name="_Toc337632356"/>
      <w:bookmarkStart w:id="1489" w:name="_Toc340672867"/>
      <w:bookmarkStart w:id="1490" w:name="_Toc342296758"/>
      <w:bookmarkStart w:id="1491" w:name="_Toc374454598"/>
      <w:bookmarkStart w:id="1492" w:name="_Toc8344"/>
      <w:bookmarkStart w:id="1493" w:name="_Toc333935685"/>
      <w:bookmarkStart w:id="1494" w:name="_Toc349127624"/>
      <w:bookmarkStart w:id="1495" w:name="_Toc341348336"/>
      <w:bookmarkStart w:id="1496" w:name="_Toc336681933"/>
      <w:bookmarkStart w:id="1497" w:name="_Toc339020231"/>
      <w:r>
        <w:rPr>
          <w:rFonts w:hint="eastAsia"/>
        </w:rPr>
        <w:t>询标及投标文件的澄清</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为了有助于对投标文件进行审查、评估和比较，评标委员会有权向供应商质疑，请供应商澄清其投标内容。供应商有责任按照集中采购机构通知的时间、地点指派专人进行答疑和澄清。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rPr>
      </w:pPr>
      <w:r>
        <w:rPr>
          <w:rFonts w:ascii="宋体"/>
          <w:color w:val="000000"/>
        </w:rPr>
        <w:t>2</w:t>
      </w:r>
      <w:r>
        <w:rPr>
          <w:rFonts w:hint="eastAsia" w:ascii="宋体"/>
          <w:color w:val="000000"/>
        </w:rPr>
        <w:t>5</w:t>
      </w:r>
      <w:r>
        <w:rPr>
          <w:rFonts w:ascii="宋体"/>
          <w:color w:val="000000"/>
        </w:rPr>
        <w:t>.2</w:t>
      </w:r>
      <w:r>
        <w:rPr>
          <w:rFonts w:hint="eastAsia" w:ascii="宋体"/>
          <w:color w:val="000000"/>
        </w:rPr>
        <w:tab/>
      </w:r>
      <w:r>
        <w:rPr>
          <w:rFonts w:hint="eastAsia" w:ascii="宋体"/>
          <w:color w:val="000000"/>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rPr>
      </w:pPr>
      <w:r>
        <w:rPr>
          <w:rFonts w:hint="eastAsia" w:ascii="宋体" w:hAnsi="宋体"/>
          <w:color w:val="000000"/>
        </w:rPr>
        <w:t>25.3</w:t>
      </w:r>
      <w:r>
        <w:rPr>
          <w:rFonts w:hint="eastAsia"/>
          <w:color w:val="000000"/>
        </w:rPr>
        <w:tab/>
      </w:r>
      <w:r>
        <w:rPr>
          <w:rFonts w:hint="eastAsia" w:cs="Arial Unicode MS"/>
          <w:color w:val="000000"/>
        </w:rPr>
        <w:t>除评标委员会主动要求询标外，从开标后至授予合同期间，任何供应商均不得就与其投标有关的任何问题与评标委员会联系。如果供应商希望递交其他资料给集中采购机构和评标委员会以提醒集中采购机构和评标委员会注意，则应以书面形式提交。</w:t>
      </w:r>
    </w:p>
    <w:p>
      <w:pPr>
        <w:pStyle w:val="6"/>
        <w:numPr>
          <w:ilvl w:val="4"/>
          <w:numId w:val="23"/>
        </w:numPr>
        <w:tabs>
          <w:tab w:val="left" w:pos="432"/>
          <w:tab w:val="left" w:pos="720"/>
        </w:tabs>
        <w:spacing w:before="240" w:after="120"/>
        <w:ind w:left="2432" w:hanging="2432"/>
      </w:pPr>
      <w:bookmarkStart w:id="1498" w:name="_Toc333237676"/>
      <w:bookmarkStart w:id="1499" w:name="_Toc350756449"/>
      <w:bookmarkStart w:id="1500" w:name="_Toc350438748"/>
      <w:bookmarkStart w:id="1501" w:name="_Toc339020094"/>
      <w:bookmarkStart w:id="1502" w:name="_Toc336681934"/>
      <w:bookmarkStart w:id="1503" w:name="_Toc365985178"/>
      <w:bookmarkStart w:id="1504" w:name="_Toc365967072"/>
      <w:bookmarkStart w:id="1505" w:name="_Toc333935686"/>
      <w:bookmarkStart w:id="1506" w:name="_Toc29250"/>
      <w:bookmarkStart w:id="1507" w:name="_Toc341348337"/>
      <w:bookmarkStart w:id="1508" w:name="_Toc339019888"/>
      <w:bookmarkStart w:id="1509" w:name="_Toc408126463"/>
      <w:bookmarkStart w:id="1510" w:name="_Toc331512897"/>
      <w:bookmarkStart w:id="1511" w:name="_Toc83905573"/>
      <w:bookmarkStart w:id="1512" w:name="_Toc333238632"/>
      <w:bookmarkStart w:id="1513" w:name="_Toc336681579"/>
      <w:bookmarkStart w:id="1514" w:name="_Toc339020014"/>
      <w:bookmarkStart w:id="1515" w:name="_Toc333237787"/>
      <w:bookmarkStart w:id="1516" w:name="_Toc29922"/>
      <w:bookmarkStart w:id="1517" w:name="_Toc331684037"/>
      <w:bookmarkStart w:id="1518" w:name="_Toc349127625"/>
      <w:bookmarkStart w:id="1519" w:name="_Toc333935345"/>
      <w:bookmarkStart w:id="1520" w:name="_Toc339441086"/>
      <w:bookmarkStart w:id="1521" w:name="_Toc332206707"/>
      <w:bookmarkStart w:id="1522" w:name="_Toc342060373"/>
      <w:bookmarkStart w:id="1523" w:name="_Toc14249"/>
      <w:bookmarkStart w:id="1524" w:name="_Toc32527"/>
      <w:bookmarkStart w:id="1525" w:name="_Toc340507441"/>
      <w:bookmarkStart w:id="1526" w:name="_Toc49265636"/>
      <w:bookmarkStart w:id="1527" w:name="_Toc345513866"/>
      <w:bookmarkStart w:id="1528" w:name="_Toc332270345"/>
      <w:bookmarkStart w:id="1529" w:name="_Toc339362299"/>
      <w:bookmarkStart w:id="1530" w:name="_Toc340677069"/>
      <w:bookmarkStart w:id="1531" w:name="_Toc366072527"/>
      <w:bookmarkStart w:id="1532" w:name="_Toc339020232"/>
      <w:bookmarkStart w:id="1533" w:name="_Toc8513"/>
      <w:bookmarkStart w:id="1534" w:name="_Toc330459984"/>
      <w:bookmarkStart w:id="1535" w:name="_Toc349143588"/>
      <w:bookmarkStart w:id="1536" w:name="_Toc342296759"/>
      <w:bookmarkStart w:id="1537" w:name="_Toc374454599"/>
      <w:bookmarkStart w:id="1538" w:name="_Toc22760"/>
      <w:bookmarkStart w:id="1539" w:name="_Toc340672868"/>
      <w:bookmarkStart w:id="1540" w:name="_Toc337632357"/>
      <w:bookmarkStart w:id="1541" w:name="_Toc17839"/>
      <w:r>
        <w:rPr>
          <w:rFonts w:hint="eastAsia"/>
        </w:rPr>
        <w:t>评标原则</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pPr>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26.2</w:t>
      </w:r>
      <w:r>
        <w:rPr>
          <w:rFonts w:hint="eastAsia" w:ascii="宋体"/>
          <w:bCs/>
          <w:color w:val="000000"/>
        </w:rPr>
        <w:tab/>
      </w:r>
      <w:r>
        <w:rPr>
          <w:rFonts w:hint="eastAsia" w:ascii="宋体"/>
          <w:bCs/>
          <w:color w:val="000000"/>
        </w:rPr>
        <w:t>坚持公平、公正、科学和择优原则。</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26.3</w:t>
      </w:r>
      <w:r>
        <w:rPr>
          <w:rFonts w:hint="eastAsia" w:ascii="宋体"/>
          <w:bCs/>
          <w:color w:val="000000"/>
        </w:rPr>
        <w:tab/>
      </w:r>
      <w:r>
        <w:rPr>
          <w:rFonts w:hint="eastAsia" w:ascii="宋体"/>
          <w:bCs/>
          <w:color w:val="000000"/>
        </w:rPr>
        <w:t>实行科学评估、集体决策。</w:t>
      </w:r>
    </w:p>
    <w:p>
      <w:pPr>
        <w:pStyle w:val="6"/>
        <w:numPr>
          <w:ilvl w:val="4"/>
          <w:numId w:val="23"/>
        </w:numPr>
        <w:tabs>
          <w:tab w:val="left" w:pos="432"/>
          <w:tab w:val="left" w:pos="720"/>
        </w:tabs>
        <w:spacing w:before="240" w:after="120"/>
        <w:ind w:left="2432" w:hanging="2432"/>
      </w:pPr>
      <w:bookmarkStart w:id="1542" w:name="_Toc339020233"/>
      <w:bookmarkStart w:id="1543" w:name="_Toc339020095"/>
      <w:bookmarkStart w:id="1544" w:name="_Toc83905574"/>
      <w:bookmarkStart w:id="1545" w:name="_Toc333935687"/>
      <w:bookmarkStart w:id="1546" w:name="_Toc340507442"/>
      <w:bookmarkStart w:id="1547" w:name="_Toc25192"/>
      <w:bookmarkStart w:id="1548" w:name="_Toc8501"/>
      <w:bookmarkStart w:id="1549" w:name="_Toc374454600"/>
      <w:bookmarkStart w:id="1550" w:name="_Toc408126464"/>
      <w:bookmarkStart w:id="1551" w:name="_Toc340672869"/>
      <w:bookmarkStart w:id="1552" w:name="_Toc332270346"/>
      <w:bookmarkStart w:id="1553" w:name="_Toc349143589"/>
      <w:bookmarkStart w:id="1554" w:name="_Toc365985179"/>
      <w:bookmarkStart w:id="1555" w:name="_Toc333238633"/>
      <w:bookmarkStart w:id="1556" w:name="_Toc333237788"/>
      <w:bookmarkStart w:id="1557" w:name="_Toc340677070"/>
      <w:bookmarkStart w:id="1558" w:name="_Toc349127626"/>
      <w:bookmarkStart w:id="1559" w:name="_Toc339020015"/>
      <w:bookmarkStart w:id="1560" w:name="_Toc333237677"/>
      <w:bookmarkStart w:id="1561" w:name="_Toc336681580"/>
      <w:bookmarkStart w:id="1562" w:name="_Toc339441087"/>
      <w:bookmarkStart w:id="1563" w:name="_Toc342060374"/>
      <w:bookmarkStart w:id="1564" w:name="_Toc49265637"/>
      <w:bookmarkStart w:id="1565" w:name="_Toc30378"/>
      <w:bookmarkStart w:id="1566" w:name="_Toc350756450"/>
      <w:bookmarkStart w:id="1567" w:name="_Toc345513867"/>
      <w:bookmarkStart w:id="1568" w:name="_Toc2266"/>
      <w:bookmarkStart w:id="1569" w:name="_Toc365967073"/>
      <w:bookmarkStart w:id="1570" w:name="_Toc337632358"/>
      <w:bookmarkStart w:id="1571" w:name="_Toc330459985"/>
      <w:bookmarkStart w:id="1572" w:name="_Toc2845"/>
      <w:bookmarkStart w:id="1573" w:name="_Toc331684038"/>
      <w:bookmarkStart w:id="1574" w:name="_Toc339362300"/>
      <w:bookmarkStart w:id="1575" w:name="_Toc350438749"/>
      <w:bookmarkStart w:id="1576" w:name="_Toc366072528"/>
      <w:bookmarkStart w:id="1577" w:name="_Toc341348338"/>
      <w:bookmarkStart w:id="1578" w:name="_Toc339019889"/>
      <w:bookmarkStart w:id="1579" w:name="_Toc332206708"/>
      <w:bookmarkStart w:id="1580" w:name="_Toc331512898"/>
      <w:bookmarkStart w:id="1581" w:name="_Toc9573"/>
      <w:bookmarkStart w:id="1582" w:name="_Toc336681935"/>
      <w:bookmarkStart w:id="1583" w:name="_Toc333935346"/>
      <w:bookmarkStart w:id="1584" w:name="_Toc342296760"/>
      <w:bookmarkStart w:id="1585" w:name="_Toc16760"/>
      <w:r>
        <w:rPr>
          <w:rFonts w:hint="eastAsia"/>
        </w:rPr>
        <w:t>评标标准和办法</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pPr>
        <w:pStyle w:val="26"/>
        <w:tabs>
          <w:tab w:val="left" w:pos="753"/>
        </w:tabs>
        <w:adjustRightInd w:val="0"/>
        <w:snapToGrid w:val="0"/>
        <w:spacing w:line="360" w:lineRule="auto"/>
        <w:ind w:left="751" w:leftChars="1" w:hanging="749" w:hangingChars="357"/>
        <w:rPr>
          <w:rFonts w:hAnsi="宋体"/>
          <w:bCs/>
          <w:color w:val="000000"/>
        </w:rPr>
      </w:pPr>
      <w:r>
        <w:rPr>
          <w:rFonts w:hint="eastAsia" w:hAnsi="宋体"/>
          <w:bCs/>
          <w:color w:val="000000"/>
        </w:rPr>
        <w:t>27.1</w:t>
      </w:r>
      <w:r>
        <w:rPr>
          <w:rFonts w:hint="eastAsia" w:hAnsi="宋体"/>
          <w:bCs/>
          <w:color w:val="000000"/>
        </w:rPr>
        <w:tab/>
      </w:r>
      <w:r>
        <w:rPr>
          <w:rFonts w:hint="eastAsia" w:hAnsi="宋体"/>
          <w:bCs/>
          <w:color w:val="000000"/>
        </w:rPr>
        <w:t xml:space="preserve">评标委员会将综合分析供应商的各项指标，而不以单项指标的优劣评选出中标单位。对所有供应商的投标评估，都采用相同的程序和标准，评标严格按照招标文件的要求和条件进行。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bCs/>
          <w:color w:val="000000"/>
        </w:rPr>
      </w:pPr>
      <w:r>
        <w:rPr>
          <w:rFonts w:hint="eastAsia" w:hAnsi="宋体"/>
          <w:bCs/>
          <w:color w:val="000000"/>
        </w:rPr>
        <w:t>27</w:t>
      </w:r>
      <w:r>
        <w:rPr>
          <w:rFonts w:hAnsi="宋体"/>
          <w:bCs/>
          <w:color w:val="000000"/>
        </w:rPr>
        <w:t>.2</w:t>
      </w:r>
      <w:r>
        <w:rPr>
          <w:rFonts w:hint="eastAsia" w:hAnsi="宋体"/>
          <w:bCs/>
          <w:color w:val="000000"/>
        </w:rPr>
        <w:tab/>
      </w:r>
      <w:r>
        <w:rPr>
          <w:rFonts w:hint="eastAsia" w:hAnsi="宋体"/>
          <w:bCs/>
          <w:color w:val="000000"/>
        </w:rPr>
        <w:t>采用计分法（综合评价法）来确定各供应商的排名。其操作程序为：</w:t>
      </w:r>
    </w:p>
    <w:p>
      <w:pPr>
        <w:pStyle w:val="30"/>
        <w:widowControl/>
        <w:numPr>
          <w:ilvl w:val="0"/>
          <w:numId w:val="29"/>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根据招标文件和评标原则，按下表（评价指标和权重表）所列评价指标和各评价指标的权重进行评标。</w:t>
      </w:r>
    </w:p>
    <w:p>
      <w:pPr>
        <w:pStyle w:val="30"/>
        <w:widowControl/>
        <w:numPr>
          <w:ilvl w:val="0"/>
          <w:numId w:val="29"/>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color w:val="000000"/>
          <w:sz w:val="21"/>
        </w:rPr>
        <w:t>经济价格得分评审办法：以满足招标文件要求且投标报价最低的投标报价为评标基准价，其价格分为满分。</w:t>
      </w:r>
      <w:r>
        <w:rPr>
          <w:rFonts w:hint="eastAsia" w:ascii="宋体" w:hAnsi="宋体" w:eastAsia="宋体"/>
          <w:bCs/>
          <w:color w:val="000000"/>
          <w:sz w:val="21"/>
        </w:rPr>
        <w:t>经济价格标得分＝(评标基准价/投标报价)×价格指标权重×100。</w:t>
      </w:r>
    </w:p>
    <w:p>
      <w:pPr>
        <w:pStyle w:val="30"/>
        <w:widowControl/>
        <w:numPr>
          <w:ilvl w:val="0"/>
          <w:numId w:val="29"/>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由评委独立地根据各项指标的评价标准，结合每个供应商的实际情况，分别就投标报价以外的各项指标对每个供应商独立打分。</w:t>
      </w:r>
    </w:p>
    <w:p>
      <w:pPr>
        <w:pStyle w:val="30"/>
        <w:widowControl/>
        <w:numPr>
          <w:ilvl w:val="0"/>
          <w:numId w:val="29"/>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技术部分和商务部分得分结果取全部评委评分的算术平均值。</w:t>
      </w:r>
    </w:p>
    <w:p>
      <w:pPr>
        <w:pStyle w:val="30"/>
        <w:widowControl/>
        <w:numPr>
          <w:ilvl w:val="0"/>
          <w:numId w:val="29"/>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将所有评价指标所得实际评价分数相加，即为该供应商的综合得分。</w:t>
      </w:r>
    </w:p>
    <w:p>
      <w:pPr>
        <w:pStyle w:val="30"/>
        <w:widowControl/>
        <w:numPr>
          <w:ilvl w:val="0"/>
          <w:numId w:val="29"/>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评标委员会将推荐综合得分最高的供应商为该项目的中标候选人。</w:t>
      </w:r>
    </w:p>
    <w:p>
      <w:pPr>
        <w:pStyle w:val="30"/>
        <w:widowControl/>
        <w:numPr>
          <w:ilvl w:val="0"/>
          <w:numId w:val="0"/>
        </w:numPr>
        <w:tabs>
          <w:tab w:val="left" w:pos="1155"/>
          <w:tab w:val="left" w:pos="1506"/>
        </w:tabs>
        <w:adjustRightInd w:val="0"/>
        <w:snapToGrid w:val="0"/>
        <w:spacing w:line="360" w:lineRule="auto"/>
        <w:ind w:left="565" w:leftChars="0"/>
        <w:rPr>
          <w:rFonts w:ascii="宋体" w:hAnsi="宋体" w:eastAsia="宋体"/>
          <w:bCs/>
          <w:color w:val="000000"/>
          <w:sz w:val="21"/>
        </w:rPr>
      </w:pPr>
    </w:p>
    <w:p>
      <w:pPr>
        <w:rPr>
          <w:color w:val="000000" w:themeColor="text1"/>
        </w:rPr>
      </w:pPr>
      <w:r>
        <w:rPr>
          <w:rFonts w:hint="eastAsia"/>
          <w:color w:val="000000" w:themeColor="text1"/>
        </w:rPr>
        <w:t>评价指标及权重：</w:t>
      </w:r>
    </w:p>
    <w:p>
      <w:pPr>
        <w:pStyle w:val="61"/>
        <w:ind w:firstLine="400"/>
      </w:pPr>
    </w:p>
    <w:tbl>
      <w:tblPr>
        <w:tblStyle w:val="52"/>
        <w:tblW w:w="8363"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271"/>
        <w:gridCol w:w="254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843" w:type="dxa"/>
            <w:tcBorders>
              <w:top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项目</w:t>
            </w:r>
          </w:p>
        </w:tc>
        <w:tc>
          <w:tcPr>
            <w:tcW w:w="2271" w:type="dxa"/>
            <w:tcBorders>
              <w:top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技术</w:t>
            </w:r>
          </w:p>
        </w:tc>
        <w:tc>
          <w:tcPr>
            <w:tcW w:w="2548" w:type="dxa"/>
            <w:tcBorders>
              <w:top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商务</w:t>
            </w:r>
          </w:p>
        </w:tc>
        <w:tc>
          <w:tcPr>
            <w:tcW w:w="1701" w:type="dxa"/>
            <w:tcBorders>
              <w:top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843" w:type="dxa"/>
            <w:tcBorders>
              <w:bottom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分值</w:t>
            </w:r>
          </w:p>
        </w:tc>
        <w:tc>
          <w:tcPr>
            <w:tcW w:w="2271" w:type="dxa"/>
            <w:tcBorders>
              <w:bottom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50分</w:t>
            </w:r>
          </w:p>
        </w:tc>
        <w:tc>
          <w:tcPr>
            <w:tcW w:w="2548" w:type="dxa"/>
            <w:tcBorders>
              <w:bottom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30分</w:t>
            </w:r>
          </w:p>
        </w:tc>
        <w:tc>
          <w:tcPr>
            <w:tcW w:w="1701" w:type="dxa"/>
            <w:tcBorders>
              <w:bottom w:val="single" w:color="auto" w:sz="12" w:space="0"/>
            </w:tcBorders>
            <w:vAlign w:val="center"/>
          </w:tcPr>
          <w:p>
            <w:pPr>
              <w:jc w:val="center"/>
              <w:rPr>
                <w:rFonts w:ascii="宋体"/>
                <w:color w:val="000000" w:themeColor="text1"/>
                <w:szCs w:val="21"/>
              </w:rPr>
            </w:pPr>
            <w:r>
              <w:rPr>
                <w:rFonts w:hint="eastAsia" w:ascii="宋体" w:hAnsi="宋体" w:cs="宋体"/>
                <w:color w:val="000000" w:themeColor="text1"/>
                <w:szCs w:val="21"/>
              </w:rPr>
              <w:t>20分</w:t>
            </w:r>
          </w:p>
        </w:tc>
      </w:tr>
    </w:tbl>
    <w:p>
      <w:pPr>
        <w:rPr>
          <w:b/>
          <w:bCs/>
          <w:color w:val="000000" w:themeColor="text1"/>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技术标评分表（满分50分）</w:t>
      </w:r>
    </w:p>
    <w:tbl>
      <w:tblPr>
        <w:tblStyle w:val="52"/>
        <w:tblpPr w:leftFromText="180" w:rightFromText="180" w:vertAnchor="text" w:horzAnchor="page" w:tblpX="499" w:tblpY="255"/>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79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9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服务目标与计划方案(等次分值选择:</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根据各投标人提供的服务目标与计划方案进行评审: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1.方案设置的服务策略、服务指标、可操作性强，计划全面，得15分；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2.方案设置的服务策略、服务指标、可操作性较强，计划较全面，得10分；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3.方案设置的服务策略、服务指标、可操作性差，计划不全面，得5分；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服务管理方案(等次分值选择:0.0；5.0；10.0；20.0)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根据各投标人提供的服务管理方案进行评审: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1.方案措施科学合理、操作性强，条款清晰合理，设定项目预期成效向度及评估方法合理，得 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2.方案措施科学合理、操作性较强，条款清晰较合理，设定项目预期成效向度及评估方法有一定的合理性，得10分；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3.方案措施科学合理、操作性一般，条款清晰-般，设定项目预期成效向度及评估方法基本合理，得5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应急突发处理方案(等次分值选择:0.0；3.0；6.0；10.0)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根据各投标人针对本项目可能发生的各种应急突发情况(包括服务对象突</w:t>
            </w:r>
          </w:p>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发事件、安全事故等)的应急突发处理方案进行评审: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1.方案详细、全面、可行性高，得10分；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2.方案较详细、全面、可行，得6分；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3.方案不够详细、全面、可行性差，得3分；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服务承诺(等次分值选择:0.0；3.0；6.0；10.0)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根据各投标人为本项目提供服务承诺等进行评审: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1．服务计划保障完整、实施具有实用性、合理、有针对性等内容清晰，得 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2.服务计划保障较完整、实施较实用、较合理、较有针对性等内容较清晰，得6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3.服务计划保障基本完整、实施基本实用、基本合理、有针对性等内容一般，得3分； 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4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50分</w:t>
            </w:r>
          </w:p>
        </w:tc>
      </w:tr>
    </w:tbl>
    <w:p>
      <w:pPr>
        <w:pStyle w:val="355"/>
        <w:jc w:val="both"/>
        <w:rPr>
          <w:rFonts w:hint="eastAsia" w:ascii="宋体" w:hAnsi="宋体" w:eastAsia="宋体" w:cs="Times New Roman"/>
          <w:bCs/>
          <w:color w:val="000000"/>
          <w:kern w:val="0"/>
          <w:sz w:val="21"/>
          <w:szCs w:val="20"/>
          <w:lang w:val="en-US" w:eastAsia="zh-CN" w:bidi="ar-SA"/>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商务标评分表（满分30分）</w:t>
      </w:r>
    </w:p>
    <w:tbl>
      <w:tblPr>
        <w:tblStyle w:val="52"/>
        <w:tblpPr w:leftFromText="180" w:rightFromText="180" w:vertAnchor="text" w:horzAnchor="page" w:tblpX="817" w:tblpY="255"/>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3"/>
        <w:gridCol w:w="715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1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人员配备(等次分值选择:0.0；4.0；8.0)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项目负责人满足以下条件: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持有相关维保服务类别人员证书，一个证书得4分，最多得8分。 </w:t>
            </w:r>
          </w:p>
          <w:p>
            <w:pPr>
              <w:spacing w:line="360" w:lineRule="auto"/>
              <w:jc w:val="left"/>
              <w:rPr>
                <w:rFonts w:hint="eastAsia" w:ascii="宋体" w:hAnsi="宋体" w:eastAsia="宋体" w:cs="Times New Roman"/>
                <w:bCs/>
                <w:color w:val="000000"/>
                <w:kern w:val="0"/>
                <w:sz w:val="21"/>
                <w:szCs w:val="20"/>
                <w:lang w:val="en-US" w:eastAsia="zh-CN" w:bidi="ar-SA"/>
              </w:rPr>
            </w:pP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人员保障及培训方案(等次分值选择:0.0；3.0；6.0；10.0)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根据投标人对本项目的人员保障及培训方案进行评比:</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(1)人员培训及管理方案合理可行10分；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(2)人员培训及管理合理方案比较合理可行6分；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(3)人员培训及管理方案合理基本可行 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同类项目业绩(等次分值选择:0.0；3.0；6.0；9.0；12.0)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根据供应商同类业绩情况评分，每一项业绩得 3 分，最多得12分。 (提供业绩合同关键页复印件加盖公章，否则不得分。)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30分</w:t>
            </w:r>
          </w:p>
        </w:tc>
      </w:tr>
    </w:tbl>
    <w:p>
      <w:pPr>
        <w:pStyle w:val="61"/>
        <w:ind w:firstLine="400"/>
      </w:pPr>
    </w:p>
    <w:p>
      <w:pPr>
        <w:pStyle w:val="61"/>
        <w:ind w:firstLine="400"/>
      </w:pPr>
    </w:p>
    <w:p>
      <w:pPr>
        <w:spacing w:line="360" w:lineRule="auto"/>
        <w:rPr>
          <w:b/>
          <w:bCs/>
          <w:color w:val="000000" w:themeColor="text1"/>
        </w:rPr>
      </w:pPr>
    </w:p>
    <w:p>
      <w:pPr>
        <w:spacing w:line="360" w:lineRule="auto"/>
        <w:rPr>
          <w:b/>
          <w:bCs/>
          <w:color w:val="000000" w:themeColor="text1"/>
        </w:rPr>
      </w:pPr>
      <w:r>
        <w:rPr>
          <w:rFonts w:hint="eastAsia"/>
          <w:b/>
          <w:bCs/>
          <w:color w:val="000000" w:themeColor="text1"/>
        </w:rPr>
        <w:t>价格部分</w:t>
      </w:r>
    </w:p>
    <w:p>
      <w:pPr>
        <w:spacing w:line="360" w:lineRule="auto"/>
        <w:rPr>
          <w:rFonts w:ascii="宋体" w:hAnsi="宋体"/>
          <w:color w:val="000000" w:themeColor="text1"/>
        </w:rPr>
      </w:pPr>
      <w:r>
        <w:rPr>
          <w:rFonts w:hint="eastAsia" w:ascii="宋体" w:hAnsi="宋体"/>
          <w:color w:val="000000" w:themeColor="text1"/>
        </w:rPr>
        <w:t>满足招标文件要求且投标价格最低的投标报价为评标基准价，其价格分为满分。其他供应商的价格分统一按照下列公式计算：投标报价得分=(评标基准价／投标报价)×20%×100。不满足招标文件要求的不得分。(价格分四舍五入，保留两位小数)</w:t>
      </w:r>
    </w:p>
    <w:p>
      <w:pPr>
        <w:pStyle w:val="61"/>
        <w:ind w:firstLine="400"/>
      </w:pPr>
    </w:p>
    <w:bookmarkEnd w:id="35"/>
    <w:p>
      <w:pPr>
        <w:pStyle w:val="6"/>
        <w:numPr>
          <w:ilvl w:val="4"/>
          <w:numId w:val="23"/>
        </w:numPr>
        <w:tabs>
          <w:tab w:val="left" w:pos="432"/>
          <w:tab w:val="left" w:pos="720"/>
        </w:tabs>
        <w:spacing w:before="240" w:after="120"/>
        <w:ind w:left="2432" w:hanging="2432"/>
      </w:pPr>
      <w:bookmarkStart w:id="1586" w:name="_Toc327368025"/>
      <w:bookmarkStart w:id="1587" w:name="_Toc4992"/>
      <w:bookmarkStart w:id="1588" w:name="_Toc327367761"/>
      <w:bookmarkStart w:id="1589" w:name="_Toc83905575"/>
      <w:bookmarkStart w:id="1590" w:name="_Toc17735"/>
      <w:bookmarkStart w:id="1591" w:name="_Toc8333"/>
      <w:bookmarkStart w:id="1592" w:name="_Toc93"/>
      <w:bookmarkStart w:id="1593" w:name="_Toc7983"/>
      <w:bookmarkStart w:id="1594" w:name="_Toc22434"/>
      <w:bookmarkStart w:id="1595" w:name="_Toc408126465"/>
      <w:bookmarkStart w:id="1596" w:name="_Toc6349"/>
      <w:bookmarkStart w:id="1597" w:name="_Toc49265638"/>
      <w:bookmarkStart w:id="1598" w:name="_Toc366072529"/>
      <w:bookmarkStart w:id="1599" w:name="_Toc332206709"/>
      <w:bookmarkStart w:id="1600" w:name="_Toc339020096"/>
      <w:bookmarkStart w:id="1601" w:name="_Toc333935688"/>
      <w:bookmarkStart w:id="1602" w:name="_Toc339362301"/>
      <w:bookmarkStart w:id="1603" w:name="_Toc341348339"/>
      <w:bookmarkStart w:id="1604" w:name="_Toc333238634"/>
      <w:bookmarkStart w:id="1605" w:name="_Toc336681936"/>
      <w:bookmarkStart w:id="1606" w:name="_Toc345513902"/>
      <w:bookmarkStart w:id="1607" w:name="_Toc340507443"/>
      <w:bookmarkStart w:id="1608" w:name="_Toc342296761"/>
      <w:bookmarkStart w:id="1609" w:name="_Toc333237678"/>
      <w:bookmarkStart w:id="1610" w:name="_Toc339020016"/>
      <w:bookmarkStart w:id="1611" w:name="_Toc340677071"/>
      <w:bookmarkStart w:id="1612" w:name="_Toc333935347"/>
      <w:bookmarkStart w:id="1613" w:name="_Toc340672870"/>
      <w:bookmarkStart w:id="1614" w:name="_Toc331512899"/>
      <w:bookmarkStart w:id="1615" w:name="_Toc342060375"/>
      <w:bookmarkStart w:id="1616" w:name="_Toc330459986"/>
      <w:bookmarkStart w:id="1617" w:name="_Toc336681581"/>
      <w:bookmarkStart w:id="1618" w:name="_Toc337632359"/>
      <w:bookmarkStart w:id="1619" w:name="_Toc332270347"/>
      <w:bookmarkStart w:id="1620" w:name="_Toc339019890"/>
      <w:bookmarkStart w:id="1621" w:name="_Toc333237789"/>
      <w:bookmarkStart w:id="1622" w:name="_Toc331684039"/>
      <w:bookmarkStart w:id="1623" w:name="_Toc339020234"/>
      <w:bookmarkStart w:id="1624" w:name="_Toc339441088"/>
      <w:bookmarkStart w:id="1625" w:name="_Toc480010734"/>
      <w:bookmarkStart w:id="1626" w:name="_Toc491658677"/>
      <w:bookmarkStart w:id="1627" w:name="_Toc468606055"/>
      <w:bookmarkStart w:id="1628" w:name="_Toc468157562"/>
      <w:bookmarkStart w:id="1629" w:name="_Toc480021079"/>
      <w:bookmarkStart w:id="1630" w:name="_Toc467987849"/>
      <w:bookmarkStart w:id="1631" w:name="_Toc480020283"/>
      <w:bookmarkStart w:id="1632" w:name="_Toc500861024"/>
      <w:bookmarkStart w:id="1633" w:name="_Toc479991608"/>
      <w:bookmarkStart w:id="1634" w:name="_Toc467236766"/>
      <w:bookmarkStart w:id="1635" w:name="_Toc491658680"/>
      <w:bookmarkStart w:id="1636" w:name="_Toc26066260"/>
      <w:bookmarkStart w:id="1637" w:name="_Toc500861027"/>
      <w:bookmarkStart w:id="1638" w:name="_Toc6397151"/>
      <w:bookmarkStart w:id="1639" w:name="_Toc6727972"/>
      <w:r>
        <w:rPr>
          <w:rFonts w:hint="eastAsia"/>
        </w:rPr>
        <w:t>评标注意事项</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p>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28.1</w:t>
      </w:r>
      <w:r>
        <w:rPr>
          <w:rFonts w:hint="eastAsia" w:ascii="宋体" w:hAnsi="宋体"/>
          <w:bCs/>
          <w:color w:val="000000"/>
        </w:rPr>
        <w:tab/>
      </w:r>
      <w:r>
        <w:rPr>
          <w:rFonts w:hint="eastAsia" w:ascii="宋体" w:hAnsi="宋体"/>
          <w:bCs/>
          <w:color w:val="000000"/>
        </w:rPr>
        <w:t>评标是招标工作的重要环节，评标工作在评标委员会内独立进行。评标委员会将公正、平等地对待所有供应商。</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28.2</w:t>
      </w:r>
      <w:r>
        <w:rPr>
          <w:rFonts w:hint="eastAsia" w:ascii="宋体" w:hAnsi="宋体"/>
          <w:bCs/>
          <w:color w:val="000000"/>
        </w:rPr>
        <w:tab/>
      </w:r>
      <w:r>
        <w:rPr>
          <w:rFonts w:hint="eastAsia" w:ascii="宋体" w:hAnsi="宋体"/>
          <w:bCs/>
          <w:color w:val="000000"/>
        </w:rPr>
        <w:t>在开标、评标期间，供应商不得向评委询问评标情况，不得进行旨在影响评标结果的活动。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28.3</w:t>
      </w:r>
      <w:r>
        <w:rPr>
          <w:rFonts w:hint="eastAsia" w:ascii="宋体" w:hAnsi="宋体"/>
          <w:bCs/>
          <w:color w:val="000000"/>
        </w:rPr>
        <w:tab/>
      </w:r>
      <w:r>
        <w:rPr>
          <w:rFonts w:hint="eastAsia" w:ascii="宋体" w:hAnsi="宋体"/>
          <w:bCs/>
          <w:color w:val="000000"/>
        </w:rPr>
        <w:t>在招标工作结束后，评标委员会成员和参与评标的有关工作人员不得透露与评标有关的情况。</w:t>
      </w:r>
    </w:p>
    <w:p>
      <w:pPr>
        <w:pStyle w:val="6"/>
        <w:numPr>
          <w:ilvl w:val="4"/>
          <w:numId w:val="23"/>
        </w:numPr>
        <w:tabs>
          <w:tab w:val="left" w:pos="432"/>
          <w:tab w:val="left" w:pos="720"/>
        </w:tabs>
        <w:spacing w:before="240" w:after="120"/>
        <w:ind w:left="2432" w:hanging="2432"/>
      </w:pPr>
      <w:bookmarkStart w:id="1640" w:name="_Toc336681582"/>
      <w:bookmarkStart w:id="1641" w:name="_Toc365967074"/>
      <w:bookmarkStart w:id="1642" w:name="_Toc342060376"/>
      <w:bookmarkStart w:id="1643" w:name="_Toc339441089"/>
      <w:bookmarkStart w:id="1644" w:name="_Toc23717"/>
      <w:bookmarkStart w:id="1645" w:name="_Toc5119"/>
      <w:bookmarkStart w:id="1646" w:name="_Toc336681937"/>
      <w:bookmarkStart w:id="1647" w:name="_Toc374454602"/>
      <w:bookmarkStart w:id="1648" w:name="_Toc333935348"/>
      <w:bookmarkStart w:id="1649" w:name="_Toc13813"/>
      <w:bookmarkStart w:id="1650" w:name="_Toc333935689"/>
      <w:bookmarkStart w:id="1651" w:name="_Toc49265639"/>
      <w:bookmarkStart w:id="1652" w:name="_Toc350756452"/>
      <w:bookmarkStart w:id="1653" w:name="_Toc342296762"/>
      <w:bookmarkStart w:id="1654" w:name="_Toc333237790"/>
      <w:bookmarkStart w:id="1655" w:name="_Toc365985180"/>
      <w:bookmarkStart w:id="1656" w:name="_Toc331684040"/>
      <w:bookmarkStart w:id="1657" w:name="_Toc345513903"/>
      <w:bookmarkStart w:id="1658" w:name="_Toc339020097"/>
      <w:bookmarkStart w:id="1659" w:name="_Toc332206710"/>
      <w:bookmarkStart w:id="1660" w:name="_Toc332270348"/>
      <w:bookmarkStart w:id="1661" w:name="_Toc15312"/>
      <w:bookmarkStart w:id="1662" w:name="_Toc337632360"/>
      <w:bookmarkStart w:id="1663" w:name="_Toc28813"/>
      <w:bookmarkStart w:id="1664" w:name="_Toc339020235"/>
      <w:bookmarkStart w:id="1665" w:name="_Toc339362302"/>
      <w:bookmarkStart w:id="1666" w:name="_Toc11878"/>
      <w:bookmarkStart w:id="1667" w:name="_Toc349143591"/>
      <w:bookmarkStart w:id="1668" w:name="_Toc18575"/>
      <w:bookmarkStart w:id="1669" w:name="_Toc333237679"/>
      <w:bookmarkStart w:id="1670" w:name="_Toc340507444"/>
      <w:bookmarkStart w:id="1671" w:name="_Toc339019891"/>
      <w:bookmarkStart w:id="1672" w:name="_Toc350438751"/>
      <w:bookmarkStart w:id="1673" w:name="_Toc331512900"/>
      <w:bookmarkStart w:id="1674" w:name="_Toc330459987"/>
      <w:bookmarkStart w:id="1675" w:name="_Toc339020017"/>
      <w:bookmarkStart w:id="1676" w:name="_Toc333238635"/>
      <w:bookmarkStart w:id="1677" w:name="_Toc340672871"/>
      <w:bookmarkStart w:id="1678" w:name="_Toc366072530"/>
      <w:bookmarkStart w:id="1679" w:name="_Toc408126466"/>
      <w:bookmarkStart w:id="1680" w:name="_Toc349127628"/>
      <w:bookmarkStart w:id="1681" w:name="_Toc340677072"/>
      <w:bookmarkStart w:id="1682" w:name="_Toc341348340"/>
      <w:bookmarkStart w:id="1683" w:name="_Toc83905576"/>
      <w:r>
        <w:rPr>
          <w:rFonts w:hint="eastAsia"/>
        </w:rPr>
        <w:t>接受和拒绝投标的权利</w:t>
      </w:r>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w:t>
      </w:r>
      <w:r>
        <w:rPr>
          <w:rFonts w:ascii="宋体" w:hAnsi="宋体"/>
          <w:bCs/>
          <w:color w:val="000000"/>
        </w:rPr>
        <w:t>.1</w:t>
      </w:r>
      <w:r>
        <w:rPr>
          <w:rFonts w:hint="eastAsia" w:ascii="宋体" w:hAnsi="宋体"/>
          <w:bCs/>
          <w:color w:val="000000"/>
        </w:rPr>
        <w:tab/>
      </w:r>
      <w:r>
        <w:rPr>
          <w:rFonts w:hint="eastAsia" w:ascii="宋体" w:hAnsi="宋体"/>
          <w:bCs/>
          <w:color w:val="000000"/>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29.2</w:t>
      </w:r>
      <w:r>
        <w:rPr>
          <w:rFonts w:hint="eastAsia" w:ascii="宋体" w:hAnsi="宋体"/>
          <w:bCs/>
          <w:color w:val="000000"/>
        </w:rPr>
        <w:tab/>
      </w:r>
      <w:r>
        <w:rPr>
          <w:rFonts w:hint="eastAsia" w:ascii="宋体" w:hAnsi="宋体"/>
          <w:bCs/>
          <w:color w:val="000000"/>
        </w:rPr>
        <w:t>如果招标时出现供应商不足三家或者没有合格供应商的情况，依照《中华人民共和国政府采购法》、《中华人民共和国招标投标法》及《广东省实施〈中华人民共和国招标投标法〉办法》等有关规定，集中采购机构将重新组织招标或采用政府采购管理部门依法批准的其他政府采购方式进行采购。</w:t>
      </w:r>
    </w:p>
    <w:p>
      <w:pPr>
        <w:pStyle w:val="6"/>
        <w:numPr>
          <w:ilvl w:val="4"/>
          <w:numId w:val="23"/>
        </w:numPr>
        <w:tabs>
          <w:tab w:val="left" w:pos="432"/>
          <w:tab w:val="left" w:pos="720"/>
        </w:tabs>
        <w:spacing w:before="240" w:after="120"/>
        <w:ind w:left="2432" w:hanging="2432"/>
      </w:pPr>
      <w:bookmarkStart w:id="1684" w:name="_Toc13007"/>
      <w:bookmarkStart w:id="1685" w:name="_Toc49265640"/>
      <w:bookmarkStart w:id="1686" w:name="_Toc408126467"/>
      <w:bookmarkStart w:id="1687" w:name="_Toc17117"/>
      <w:bookmarkStart w:id="1688" w:name="_Toc29351"/>
      <w:bookmarkStart w:id="1689" w:name="_Toc18250"/>
      <w:bookmarkStart w:id="1690" w:name="_Toc17316"/>
      <w:bookmarkStart w:id="1691" w:name="_Toc18949"/>
      <w:bookmarkStart w:id="1692" w:name="_Toc83905577"/>
      <w:bookmarkStart w:id="1693" w:name="_Toc366072531"/>
      <w:bookmarkStart w:id="1694" w:name="_Toc13078"/>
      <w:bookmarkStart w:id="1695" w:name="_Toc374454603"/>
      <w:r>
        <w:rPr>
          <w:rFonts w:hint="eastAsia"/>
        </w:rPr>
        <w:t>发布中标结果公告和发放中标通知书</w:t>
      </w:r>
      <w:bookmarkEnd w:id="1684"/>
      <w:bookmarkEnd w:id="1685"/>
      <w:bookmarkEnd w:id="1686"/>
      <w:bookmarkEnd w:id="1687"/>
      <w:bookmarkEnd w:id="1688"/>
      <w:bookmarkEnd w:id="1689"/>
      <w:bookmarkEnd w:id="1690"/>
      <w:bookmarkEnd w:id="1691"/>
      <w:bookmarkEnd w:id="1692"/>
      <w:bookmarkEnd w:id="1693"/>
      <w:bookmarkEnd w:id="1694"/>
      <w:bookmarkEnd w:id="1695"/>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696" w:name="_Toc366072532"/>
      <w:r>
        <w:rPr>
          <w:rFonts w:hint="eastAsia" w:ascii="宋体" w:hAnsi="宋体"/>
          <w:color w:val="000000"/>
          <w:szCs w:val="21"/>
        </w:rPr>
        <w:t>30.1   采购人或其授权的评标委员会应按照评标报告中推荐的中标候选供应商排名顺序确定中标供应商。</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30.2   中标供应商确认后，中标结果将于“投源招标采购有限公司网站</w:t>
      </w:r>
      <w:r>
        <w:fldChar w:fldCharType="begin"/>
      </w:r>
      <w:r>
        <w:instrText xml:space="preserve"> HYPERLINK "http://www.tyzhaobiao.cn" </w:instrText>
      </w:r>
      <w:r>
        <w:fldChar w:fldCharType="separate"/>
      </w:r>
      <w:r>
        <w:rPr>
          <w:rStyle w:val="59"/>
          <w:rFonts w:hint="eastAsia" w:ascii="宋体" w:hAnsi="宋体"/>
          <w:color w:val="auto"/>
          <w:szCs w:val="21"/>
          <w:u w:val="none"/>
        </w:rPr>
        <w:t>www.tyzhaobiao.cn</w:t>
      </w:r>
      <w:r>
        <w:rPr>
          <w:rStyle w:val="59"/>
          <w:rFonts w:hint="eastAsia" w:ascii="宋体" w:hAnsi="宋体"/>
          <w:color w:val="auto"/>
          <w:szCs w:val="21"/>
          <w:u w:val="none"/>
        </w:rPr>
        <w:fldChar w:fldCharType="end"/>
      </w:r>
      <w:r>
        <w:rPr>
          <w:rFonts w:hint="eastAsia" w:ascii="宋体" w:hAnsi="宋体"/>
          <w:color w:val="000000"/>
          <w:szCs w:val="21"/>
        </w:rPr>
        <w:t>”和“广东省政府采购网</w:t>
      </w:r>
      <w:r>
        <w:rPr>
          <w:rFonts w:ascii="宋体" w:hAnsi="宋体"/>
          <w:color w:val="000000"/>
          <w:szCs w:val="21"/>
        </w:rPr>
        <w:t>https://gdgpo.czt.gd.gov.cn</w:t>
      </w:r>
      <w:r>
        <w:rPr>
          <w:rFonts w:hint="eastAsia" w:ascii="宋体" w:hAnsi="宋体"/>
          <w:color w:val="000000"/>
          <w:szCs w:val="21"/>
        </w:rPr>
        <w:t>”上公告。发布中标结果公告的同时，采购代理机构向中标供应商发出中标通知书。</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30.3   未中标供应商，集中采购机构不再以其它方式另行通知。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30.4   中标通知书发出后，采购人改变中标结果，或者中标供应商放弃中标，应当承担相应的法律责任。</w:t>
      </w:r>
    </w:p>
    <w:p>
      <w:pPr>
        <w:pStyle w:val="6"/>
        <w:numPr>
          <w:ilvl w:val="4"/>
          <w:numId w:val="23"/>
        </w:numPr>
        <w:tabs>
          <w:tab w:val="left" w:pos="432"/>
          <w:tab w:val="left" w:pos="720"/>
        </w:tabs>
        <w:spacing w:before="240" w:after="120"/>
        <w:ind w:left="2432" w:hanging="2432"/>
      </w:pPr>
      <w:bookmarkStart w:id="1697" w:name="_Toc25133"/>
      <w:bookmarkStart w:id="1698" w:name="_Toc374454604"/>
      <w:bookmarkStart w:id="1699" w:name="_Toc1978"/>
      <w:bookmarkStart w:id="1700" w:name="_Toc16761"/>
      <w:bookmarkStart w:id="1701" w:name="_Toc408126468"/>
      <w:bookmarkStart w:id="1702" w:name="_Toc49265641"/>
      <w:bookmarkStart w:id="1703" w:name="_Toc12683"/>
      <w:bookmarkStart w:id="1704" w:name="_Toc2903"/>
      <w:bookmarkStart w:id="1705" w:name="_Toc18271"/>
      <w:bookmarkStart w:id="1706" w:name="_Toc83905578"/>
      <w:bookmarkStart w:id="1707" w:name="_Toc8741"/>
      <w:r>
        <w:rPr>
          <w:rFonts w:hint="eastAsia"/>
        </w:rPr>
        <w:t>供应商对中标结果的质疑、投诉</w:t>
      </w:r>
      <w:bookmarkEnd w:id="1696"/>
      <w:bookmarkEnd w:id="1697"/>
      <w:bookmarkEnd w:id="1698"/>
      <w:bookmarkEnd w:id="1699"/>
      <w:bookmarkEnd w:id="1700"/>
      <w:bookmarkEnd w:id="1701"/>
      <w:bookmarkEnd w:id="1702"/>
      <w:bookmarkEnd w:id="1703"/>
      <w:bookmarkEnd w:id="1704"/>
      <w:bookmarkEnd w:id="1705"/>
      <w:bookmarkEnd w:id="1706"/>
      <w:bookmarkEnd w:id="1707"/>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708" w:name="_Toc331684043"/>
      <w:bookmarkStart w:id="1709" w:name="_Toc342060379"/>
      <w:bookmarkStart w:id="1710" w:name="_Toc332270351"/>
      <w:bookmarkStart w:id="1711" w:name="_Toc339020100"/>
      <w:bookmarkStart w:id="1712" w:name="_Toc333238638"/>
      <w:bookmarkStart w:id="1713" w:name="_Toc340507447"/>
      <w:bookmarkStart w:id="1714" w:name="_Toc365967077"/>
      <w:bookmarkStart w:id="1715" w:name="_Toc333237793"/>
      <w:bookmarkStart w:id="1716" w:name="_Toc331512903"/>
      <w:bookmarkStart w:id="1717" w:name="_Toc340677075"/>
      <w:bookmarkStart w:id="1718" w:name="_Toc333935351"/>
      <w:bookmarkStart w:id="1719" w:name="_Toc350438754"/>
      <w:bookmarkStart w:id="1720" w:name="_Toc330459990"/>
      <w:bookmarkStart w:id="1721" w:name="_Toc341348343"/>
      <w:bookmarkStart w:id="1722" w:name="_Toc365985183"/>
      <w:bookmarkStart w:id="1723" w:name="_Toc336681585"/>
      <w:bookmarkStart w:id="1724" w:name="_Toc333935692"/>
      <w:bookmarkStart w:id="1725" w:name="_Toc336681940"/>
      <w:bookmarkStart w:id="1726" w:name="_Toc339019894"/>
      <w:bookmarkStart w:id="1727" w:name="_Toc339362305"/>
      <w:bookmarkStart w:id="1728" w:name="_Toc349127631"/>
      <w:bookmarkStart w:id="1729" w:name="_Toc339441092"/>
      <w:bookmarkStart w:id="1730" w:name="_Toc339020238"/>
      <w:bookmarkStart w:id="1731" w:name="_Toc342296765"/>
      <w:bookmarkStart w:id="1732" w:name="_Toc340672874"/>
      <w:bookmarkStart w:id="1733" w:name="_Toc350756455"/>
      <w:bookmarkStart w:id="1734" w:name="_Toc332206713"/>
      <w:bookmarkStart w:id="1735" w:name="_Toc333237682"/>
      <w:bookmarkStart w:id="1736" w:name="_Toc349143594"/>
      <w:bookmarkStart w:id="1737" w:name="_Toc337632363"/>
      <w:bookmarkStart w:id="1738" w:name="_Toc339020020"/>
      <w:bookmarkStart w:id="1739" w:name="_Toc345513906"/>
      <w:r>
        <w:rPr>
          <w:rFonts w:hint="eastAsia" w:ascii="宋体" w:hAnsi="宋体"/>
          <w:color w:val="000000"/>
          <w:szCs w:val="21"/>
        </w:rPr>
        <w:t>31.1</w:t>
      </w:r>
      <w:r>
        <w:rPr>
          <w:rFonts w:hint="eastAsia" w:ascii="宋体" w:hAnsi="宋体"/>
          <w:color w:val="000000"/>
          <w:szCs w:val="21"/>
        </w:rPr>
        <w:tab/>
      </w:r>
      <w:r>
        <w:rPr>
          <w:rFonts w:hint="eastAsia" w:ascii="宋体" w:hAnsi="宋体"/>
          <w:color w:val="000000"/>
          <w:szCs w:val="21"/>
        </w:rPr>
        <w:t>供应商对中标公告有异议的，应当在中标结果公告发布之日起七个工作日内，以书面形式向采购人或采购代理机构提出质疑。</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31.2   采购人或采购代理机构应当在收到投标供应商书面质疑后七个工作日内，对质疑内容作出答复。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31.3   供应商对采购人或采购代理机构的答复不满意或者采购人、采购代理机构未在规定时间内答复的，可以在答复期满后十五个工作日内按有关规定，向同级人民政府财政部门投诉。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31.5   供应商须对质疑或投诉内容的真实性承担责任。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31.6   质疑函应当署名。质疑供应商为自然人的，应当由本人签字；质疑供应商为法人或其他组织的，应由法定代表人或者主要负责人签字并盖公章。</w:t>
      </w:r>
    </w:p>
    <w:p>
      <w:pPr>
        <w:pStyle w:val="5"/>
        <w:numPr>
          <w:ilvl w:val="0"/>
          <w:numId w:val="0"/>
        </w:numPr>
        <w:rPr>
          <w:color w:val="000000"/>
          <w:sz w:val="24"/>
          <w:szCs w:val="24"/>
        </w:rPr>
      </w:pPr>
      <w:bookmarkStart w:id="1740" w:name="_Toc49265642"/>
      <w:bookmarkStart w:id="1741" w:name="_Toc25238"/>
      <w:bookmarkStart w:id="1742" w:name="_Toc2523"/>
      <w:bookmarkStart w:id="1743" w:name="_Toc32492"/>
      <w:bookmarkStart w:id="1744" w:name="_Toc408126469"/>
      <w:bookmarkStart w:id="1745" w:name="_Toc28239"/>
      <w:bookmarkStart w:id="1746" w:name="_Toc83905579"/>
      <w:bookmarkStart w:id="1747" w:name="_Toc12147"/>
      <w:bookmarkStart w:id="1748" w:name="_Toc22402"/>
      <w:bookmarkStart w:id="1749" w:name="_Toc366072533"/>
      <w:bookmarkStart w:id="1750" w:name="_Toc26108"/>
      <w:bookmarkStart w:id="1751" w:name="_Toc374454605"/>
      <w:r>
        <w:rPr>
          <w:rFonts w:hint="eastAsia"/>
          <w:color w:val="000000"/>
          <w:sz w:val="24"/>
          <w:szCs w:val="24"/>
        </w:rPr>
        <w:t>Ｆ  授予合同</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pPr>
        <w:pStyle w:val="6"/>
        <w:numPr>
          <w:ilvl w:val="4"/>
          <w:numId w:val="23"/>
        </w:numPr>
        <w:tabs>
          <w:tab w:val="left" w:pos="432"/>
          <w:tab w:val="left" w:pos="720"/>
        </w:tabs>
        <w:spacing w:before="240" w:after="120"/>
        <w:ind w:left="2432" w:hanging="2432"/>
      </w:pPr>
      <w:bookmarkStart w:id="1752" w:name="_Toc337632364"/>
      <w:bookmarkStart w:id="1753" w:name="_Toc333237683"/>
      <w:bookmarkStart w:id="1754" w:name="_Toc467987842"/>
      <w:bookmarkStart w:id="1755" w:name="_Toc333935693"/>
      <w:bookmarkStart w:id="1756" w:name="_Toc408126470"/>
      <w:bookmarkStart w:id="1757" w:name="_Toc341348344"/>
      <w:bookmarkStart w:id="1758" w:name="_Toc349127632"/>
      <w:bookmarkStart w:id="1759" w:name="_Toc28661"/>
      <w:bookmarkStart w:id="1760" w:name="_Toc365967078"/>
      <w:bookmarkStart w:id="1761" w:name="_Toc345513907"/>
      <w:bookmarkStart w:id="1762" w:name="_Toc480010727"/>
      <w:bookmarkStart w:id="1763" w:name="_Toc480021072"/>
      <w:bookmarkStart w:id="1764" w:name="_Toc333238639"/>
      <w:bookmarkStart w:id="1765" w:name="_Toc32042"/>
      <w:bookmarkStart w:id="1766" w:name="_Toc330459991"/>
      <w:bookmarkStart w:id="1767" w:name="_Toc339020239"/>
      <w:bookmarkStart w:id="1768" w:name="_Toc336681586"/>
      <w:bookmarkStart w:id="1769" w:name="_Toc480020276"/>
      <w:bookmarkStart w:id="1770" w:name="_Toc467236759"/>
      <w:bookmarkStart w:id="1771" w:name="_Toc340672875"/>
      <w:bookmarkStart w:id="1772" w:name="_Toc350756456"/>
      <w:bookmarkStart w:id="1773" w:name="_Toc350438755"/>
      <w:bookmarkStart w:id="1774" w:name="_Toc479991601"/>
      <w:bookmarkStart w:id="1775" w:name="_Toc339020021"/>
      <w:bookmarkStart w:id="1776" w:name="_Toc339441093"/>
      <w:bookmarkStart w:id="1777" w:name="_Toc339020101"/>
      <w:bookmarkStart w:id="1778" w:name="_Toc342060380"/>
      <w:bookmarkStart w:id="1779" w:name="_Toc333935352"/>
      <w:bookmarkStart w:id="1780" w:name="_Toc331684044"/>
      <w:bookmarkStart w:id="1781" w:name="_Toc340507448"/>
      <w:bookmarkStart w:id="1782" w:name="_Toc366072534"/>
      <w:bookmarkStart w:id="1783" w:name="_Toc349143595"/>
      <w:bookmarkStart w:id="1784" w:name="_Toc491658670"/>
      <w:bookmarkStart w:id="1785" w:name="_Toc331512904"/>
      <w:bookmarkStart w:id="1786" w:name="_Toc342296766"/>
      <w:bookmarkStart w:id="1787" w:name="_Toc333237794"/>
      <w:bookmarkStart w:id="1788" w:name="_Toc12680"/>
      <w:bookmarkStart w:id="1789" w:name="_Toc468157555"/>
      <w:bookmarkStart w:id="1790" w:name="_Toc339362306"/>
      <w:bookmarkStart w:id="1791" w:name="_Toc332270352"/>
      <w:bookmarkStart w:id="1792" w:name="_Toc500861016"/>
      <w:bookmarkStart w:id="1793" w:name="_Toc336681941"/>
      <w:bookmarkStart w:id="1794" w:name="_Toc28593"/>
      <w:bookmarkStart w:id="1795" w:name="_Toc2122"/>
      <w:bookmarkStart w:id="1796" w:name="_Toc22983"/>
      <w:bookmarkStart w:id="1797" w:name="_Toc340677076"/>
      <w:bookmarkStart w:id="1798" w:name="_Toc9853"/>
      <w:bookmarkStart w:id="1799" w:name="_Toc83905580"/>
      <w:bookmarkStart w:id="1800" w:name="_Toc339019895"/>
      <w:bookmarkStart w:id="1801" w:name="_Toc49265643"/>
      <w:bookmarkStart w:id="1802" w:name="_Toc374454606"/>
      <w:bookmarkStart w:id="1803" w:name="_Toc332206714"/>
      <w:bookmarkStart w:id="1804" w:name="_Toc365985184"/>
      <w:bookmarkStart w:id="1805" w:name="_Toc468606048"/>
      <w:bookmarkStart w:id="1806" w:name="_Toc458262633"/>
      <w:bookmarkStart w:id="1807" w:name="_Toc454701400"/>
      <w:r>
        <w:rPr>
          <w:rFonts w:hint="eastAsia"/>
        </w:rPr>
        <w:t>合同授予标准</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p>
    <w:p>
      <w:pPr>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3</w:t>
      </w:r>
      <w:r>
        <w:rPr>
          <w:rFonts w:hint="eastAsia" w:ascii="宋体" w:hAnsi="宋体"/>
          <w:bCs/>
          <w:color w:val="000000"/>
        </w:rPr>
        <w:t>2</w:t>
      </w:r>
      <w:r>
        <w:rPr>
          <w:rFonts w:ascii="宋体" w:hAnsi="宋体"/>
          <w:bCs/>
          <w:color w:val="000000"/>
        </w:rPr>
        <w:t>.1</w:t>
      </w:r>
      <w:r>
        <w:rPr>
          <w:rFonts w:hint="eastAsia" w:ascii="宋体" w:hAnsi="宋体"/>
          <w:bCs/>
          <w:color w:val="000000"/>
        </w:rPr>
        <w:tab/>
      </w:r>
      <w:r>
        <w:rPr>
          <w:rFonts w:hint="eastAsia" w:ascii="宋体" w:hAnsi="宋体"/>
          <w:bCs/>
          <w:color w:val="000000"/>
        </w:rPr>
        <w:t>除第29条规定之外，采购人将把合同授予此次招标的中标供应商。</w:t>
      </w:r>
    </w:p>
    <w:bookmarkEnd w:id="1806"/>
    <w:bookmarkEnd w:id="1807"/>
    <w:p>
      <w:pPr>
        <w:pStyle w:val="6"/>
        <w:numPr>
          <w:ilvl w:val="4"/>
          <w:numId w:val="23"/>
        </w:numPr>
        <w:tabs>
          <w:tab w:val="left" w:pos="432"/>
          <w:tab w:val="left" w:pos="720"/>
        </w:tabs>
        <w:spacing w:before="240" w:after="120"/>
        <w:ind w:left="2432" w:hanging="2432"/>
      </w:pPr>
      <w:bookmarkStart w:id="1808" w:name="_Toc340672876"/>
      <w:bookmarkStart w:id="1809" w:name="_Toc454701402"/>
      <w:bookmarkStart w:id="1810" w:name="_Toc339020102"/>
      <w:bookmarkStart w:id="1811" w:name="_Toc26617"/>
      <w:bookmarkStart w:id="1812" w:name="_Toc333238640"/>
      <w:bookmarkStart w:id="1813" w:name="_Toc342296767"/>
      <w:bookmarkStart w:id="1814" w:name="_Toc331512905"/>
      <w:bookmarkStart w:id="1815" w:name="_Toc345513908"/>
      <w:bookmarkStart w:id="1816" w:name="_Toc333935353"/>
      <w:bookmarkStart w:id="1817" w:name="_Toc341348345"/>
      <w:bookmarkStart w:id="1818" w:name="_Toc408126471"/>
      <w:bookmarkStart w:id="1819" w:name="_Toc339020022"/>
      <w:bookmarkStart w:id="1820" w:name="_Toc333935694"/>
      <w:bookmarkStart w:id="1821" w:name="_Toc365967079"/>
      <w:bookmarkStart w:id="1822" w:name="_Toc8689"/>
      <w:bookmarkStart w:id="1823" w:name="_Toc330459992"/>
      <w:bookmarkStart w:id="1824" w:name="_Toc336681587"/>
      <w:bookmarkStart w:id="1825" w:name="_Toc480020280"/>
      <w:bookmarkStart w:id="1826" w:name="_Toc500861020"/>
      <w:bookmarkStart w:id="1827" w:name="_Toc350756457"/>
      <w:bookmarkStart w:id="1828" w:name="_Toc331684045"/>
      <w:bookmarkStart w:id="1829" w:name="_Toc339441094"/>
      <w:bookmarkStart w:id="1830" w:name="_Toc332206715"/>
      <w:bookmarkStart w:id="1831" w:name="_Toc18928"/>
      <w:bookmarkStart w:id="1832" w:name="_Toc4843"/>
      <w:bookmarkStart w:id="1833" w:name="_Toc349143596"/>
      <w:bookmarkStart w:id="1834" w:name="_Toc491658674"/>
      <w:bookmarkStart w:id="1835" w:name="_Toc333237795"/>
      <w:bookmarkStart w:id="1836" w:name="_Toc480010731"/>
      <w:bookmarkStart w:id="1837" w:name="_Toc366072535"/>
      <w:bookmarkStart w:id="1838" w:name="_Toc349127633"/>
      <w:bookmarkStart w:id="1839" w:name="_Toc333237684"/>
      <w:bookmarkStart w:id="1840" w:name="_Toc468606052"/>
      <w:bookmarkStart w:id="1841" w:name="_Toc458262635"/>
      <w:bookmarkStart w:id="1842" w:name="_Toc467236763"/>
      <w:bookmarkStart w:id="1843" w:name="_Toc365985185"/>
      <w:bookmarkStart w:id="1844" w:name="_Toc332270353"/>
      <w:bookmarkStart w:id="1845" w:name="_Toc350438756"/>
      <w:bookmarkStart w:id="1846" w:name="_Toc340507449"/>
      <w:bookmarkStart w:id="1847" w:name="_Toc339362307"/>
      <w:bookmarkStart w:id="1848" w:name="_Toc49265644"/>
      <w:bookmarkStart w:id="1849" w:name="_Toc479991605"/>
      <w:bookmarkStart w:id="1850" w:name="_Toc467987846"/>
      <w:bookmarkStart w:id="1851" w:name="_Toc340677077"/>
      <w:bookmarkStart w:id="1852" w:name="_Toc480021076"/>
      <w:bookmarkStart w:id="1853" w:name="_Toc337632365"/>
      <w:bookmarkStart w:id="1854" w:name="_Toc336681942"/>
      <w:bookmarkStart w:id="1855" w:name="_Toc374454607"/>
      <w:bookmarkStart w:id="1856" w:name="_Toc19434"/>
      <w:bookmarkStart w:id="1857" w:name="_Toc27515"/>
      <w:bookmarkStart w:id="1858" w:name="_Toc339020240"/>
      <w:bookmarkStart w:id="1859" w:name="_Toc339019896"/>
      <w:bookmarkStart w:id="1860" w:name="_Toc342060381"/>
      <w:bookmarkStart w:id="1861" w:name="_Toc83905581"/>
      <w:bookmarkStart w:id="1862" w:name="_Toc468157559"/>
      <w:bookmarkStart w:id="1863" w:name="_Toc19794"/>
      <w:r>
        <w:rPr>
          <w:rFonts w:hint="eastAsia"/>
        </w:rPr>
        <w:t>签订合同</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pPr>
        <w:widowControl/>
        <w:tabs>
          <w:tab w:val="left" w:pos="753"/>
        </w:tabs>
        <w:adjustRightInd w:val="0"/>
        <w:snapToGrid w:val="0"/>
        <w:spacing w:line="360" w:lineRule="auto"/>
        <w:ind w:left="753" w:hanging="753"/>
        <w:rPr>
          <w:rFonts w:ascii="宋体" w:hAnsi="宋体"/>
          <w:bCs/>
          <w:color w:val="000000"/>
        </w:rPr>
      </w:pPr>
      <w:bookmarkStart w:id="1864" w:name="_Toc383069738"/>
      <w:bookmarkStart w:id="1865" w:name="_Toc366681897"/>
      <w:bookmarkStart w:id="1866" w:name="_Toc366072536"/>
      <w:bookmarkStart w:id="1867" w:name="_Toc377129068"/>
      <w:bookmarkStart w:id="1868" w:name="_Toc369700990"/>
      <w:bookmarkStart w:id="1869" w:name="_Toc373401413"/>
      <w:bookmarkStart w:id="1870" w:name="_Toc372209289"/>
      <w:bookmarkStart w:id="1871" w:name="_Toc374454608"/>
      <w:bookmarkStart w:id="1872" w:name="_Toc378261823"/>
      <w:bookmarkStart w:id="1873" w:name="_Toc374093632"/>
      <w:bookmarkStart w:id="1874" w:name="_Toc370309169"/>
      <w:bookmarkStart w:id="1875" w:name="_Toc370983962"/>
      <w:bookmarkStart w:id="1876" w:name="_Toc379896705"/>
      <w:bookmarkStart w:id="1877" w:name="_Toc367095382"/>
      <w:bookmarkStart w:id="1878" w:name="_Toc340677078"/>
      <w:bookmarkStart w:id="1879" w:name="_Toc342296768"/>
      <w:bookmarkStart w:id="1880" w:name="_Toc333935354"/>
      <w:bookmarkStart w:id="1881" w:name="_Toc337632366"/>
      <w:bookmarkStart w:id="1882" w:name="_Toc339020241"/>
      <w:bookmarkStart w:id="1883" w:name="_Toc341348346"/>
      <w:bookmarkStart w:id="1884" w:name="_Toc340672877"/>
      <w:bookmarkStart w:id="1885" w:name="_Toc365985186"/>
      <w:bookmarkStart w:id="1886" w:name="_Toc339019897"/>
      <w:bookmarkStart w:id="1887" w:name="_Toc331684046"/>
      <w:bookmarkStart w:id="1888" w:name="_Toc333237796"/>
      <w:bookmarkStart w:id="1889" w:name="_Toc333238641"/>
      <w:bookmarkStart w:id="1890" w:name="_Toc350756458"/>
      <w:bookmarkStart w:id="1891" w:name="_Toc350438757"/>
      <w:bookmarkStart w:id="1892" w:name="_Toc330459993"/>
      <w:bookmarkStart w:id="1893" w:name="_Toc332206716"/>
      <w:bookmarkStart w:id="1894" w:name="_Toc349127634"/>
      <w:bookmarkStart w:id="1895" w:name="_Toc339020023"/>
      <w:bookmarkStart w:id="1896" w:name="_Toc339441095"/>
      <w:bookmarkStart w:id="1897" w:name="_Toc339362308"/>
      <w:bookmarkStart w:id="1898" w:name="_Toc336681588"/>
      <w:bookmarkStart w:id="1899" w:name="_Toc332270354"/>
      <w:bookmarkStart w:id="1900" w:name="_Toc333935695"/>
      <w:bookmarkStart w:id="1901" w:name="_Toc333237685"/>
      <w:bookmarkStart w:id="1902" w:name="_Toc349143597"/>
      <w:bookmarkStart w:id="1903" w:name="_Toc339020103"/>
      <w:bookmarkStart w:id="1904" w:name="_Toc365967080"/>
      <w:bookmarkStart w:id="1905" w:name="_Toc336681943"/>
      <w:bookmarkStart w:id="1906" w:name="_Toc340507450"/>
      <w:bookmarkStart w:id="1907" w:name="_Toc342060382"/>
      <w:bookmarkStart w:id="1908" w:name="_Toc345513909"/>
      <w:bookmarkStart w:id="1909" w:name="_Toc331512906"/>
      <w:r>
        <w:rPr>
          <w:rFonts w:ascii="宋体" w:hAnsi="宋体"/>
          <w:bCs/>
          <w:color w:val="000000"/>
        </w:rPr>
        <w:t>3</w:t>
      </w:r>
      <w:r>
        <w:rPr>
          <w:rFonts w:hint="eastAsia" w:ascii="宋体" w:hAnsi="宋体"/>
          <w:bCs/>
          <w:color w:val="000000"/>
        </w:rPr>
        <w:t>3</w:t>
      </w:r>
      <w:r>
        <w:rPr>
          <w:rFonts w:ascii="宋体" w:hAnsi="宋体"/>
          <w:bCs/>
          <w:color w:val="000000"/>
        </w:rPr>
        <w:t>.1</w:t>
      </w:r>
      <w:r>
        <w:rPr>
          <w:rFonts w:hint="eastAsia" w:ascii="宋体" w:hAnsi="宋体"/>
          <w:bCs/>
          <w:color w:val="000000"/>
        </w:rPr>
        <w:tab/>
      </w:r>
      <w:r>
        <w:rPr>
          <w:rFonts w:hint="eastAsia" w:ascii="宋体" w:hAnsi="宋体"/>
          <w:bCs/>
          <w:color w:val="000000"/>
        </w:rPr>
        <w:t>采购人应当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pPr>
        <w:widowControl/>
        <w:tabs>
          <w:tab w:val="left" w:pos="753"/>
        </w:tabs>
        <w:adjustRightInd w:val="0"/>
        <w:snapToGrid w:val="0"/>
        <w:spacing w:line="360" w:lineRule="auto"/>
        <w:ind w:left="753" w:hanging="753"/>
        <w:rPr>
          <w:rFonts w:ascii="宋体" w:hAnsi="宋体"/>
          <w:bCs/>
          <w:color w:val="000000"/>
        </w:rPr>
      </w:pPr>
      <w:r>
        <w:rPr>
          <w:rFonts w:ascii="宋体" w:hAnsi="宋体"/>
          <w:bCs/>
          <w:color w:val="000000"/>
        </w:rPr>
        <w:t>3</w:t>
      </w:r>
      <w:r>
        <w:rPr>
          <w:rFonts w:hint="eastAsia" w:ascii="宋体" w:hAnsi="宋体"/>
          <w:bCs/>
          <w:color w:val="000000"/>
        </w:rPr>
        <w:t>3</w:t>
      </w:r>
      <w:r>
        <w:rPr>
          <w:rFonts w:ascii="宋体" w:hAnsi="宋体"/>
          <w:bCs/>
          <w:color w:val="000000"/>
        </w:rPr>
        <w:t>.2</w:t>
      </w:r>
      <w:r>
        <w:rPr>
          <w:rFonts w:hint="eastAsia" w:ascii="宋体" w:hAnsi="宋体"/>
          <w:bCs/>
          <w:color w:val="000000"/>
        </w:rPr>
        <w:tab/>
      </w:r>
      <w:r>
        <w:rPr>
          <w:rFonts w:hint="eastAsia" w:ascii="宋体" w:hAnsi="宋体"/>
          <w:bCs/>
          <w:color w:val="000000"/>
        </w:rPr>
        <w:t>采购人应当自采购合同签订之日起七个工作日内，按照有关规定将采购合同副本报同级人民政府财政部门和集中采购机构备案。</w:t>
      </w:r>
    </w:p>
    <w:p>
      <w:pPr>
        <w:widowControl/>
        <w:tabs>
          <w:tab w:val="left" w:pos="753"/>
        </w:tabs>
        <w:adjustRightInd w:val="0"/>
        <w:snapToGrid w:val="0"/>
        <w:spacing w:line="360" w:lineRule="auto"/>
        <w:ind w:left="753" w:hanging="753"/>
        <w:rPr>
          <w:rFonts w:ascii="宋体" w:hAnsi="宋体"/>
          <w:bCs/>
          <w:color w:val="000000"/>
        </w:rPr>
      </w:pPr>
      <w:r>
        <w:rPr>
          <w:rFonts w:hint="eastAsia" w:ascii="宋体" w:hAnsi="宋体" w:cs="Arial"/>
          <w:color w:val="000000"/>
          <w:szCs w:val="21"/>
        </w:rPr>
        <w:t>33.3   中标供应商因不可抗力或者自身原因不能在规定的时间内与采购人签订采购合同，采购人可以与排在中标供应商之后第一位的候选供应商签订采购合同，以此类推。</w:t>
      </w: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Pr>
        <w:pStyle w:val="5"/>
        <w:numPr>
          <w:ilvl w:val="0"/>
          <w:numId w:val="0"/>
        </w:numPr>
        <w:rPr>
          <w:color w:val="000000"/>
          <w:sz w:val="24"/>
          <w:szCs w:val="24"/>
        </w:rPr>
      </w:pPr>
      <w:bookmarkStart w:id="1910" w:name="_Toc77434000"/>
      <w:bookmarkStart w:id="1911" w:name="_Toc12007"/>
      <w:bookmarkStart w:id="1912" w:name="_Toc49265645"/>
      <w:bookmarkStart w:id="1913" w:name="_Toc17576"/>
      <w:bookmarkStart w:id="1914" w:name="_Toc83905582"/>
      <w:bookmarkStart w:id="1915" w:name="_Toc21986"/>
      <w:bookmarkStart w:id="1916" w:name="_Toc21456"/>
      <w:bookmarkStart w:id="1917" w:name="_Toc3291"/>
      <w:bookmarkStart w:id="1918" w:name="_Toc2210"/>
      <w:r>
        <w:rPr>
          <w:rFonts w:hint="eastAsia"/>
          <w:color w:val="000000"/>
          <w:sz w:val="24"/>
          <w:szCs w:val="24"/>
        </w:rPr>
        <w:t xml:space="preserve">G   </w:t>
      </w:r>
      <w:r>
        <w:rPr>
          <w:rFonts w:hint="eastAsia" w:ascii="宋体"/>
          <w:bCs w:val="0"/>
          <w:sz w:val="24"/>
          <w:szCs w:val="24"/>
        </w:rPr>
        <w:t>政府采购政策</w:t>
      </w:r>
      <w:bookmarkEnd w:id="1910"/>
      <w:bookmarkEnd w:id="1911"/>
      <w:bookmarkEnd w:id="1912"/>
      <w:bookmarkEnd w:id="1913"/>
      <w:bookmarkEnd w:id="1914"/>
      <w:bookmarkEnd w:id="1915"/>
      <w:bookmarkEnd w:id="1916"/>
      <w:bookmarkEnd w:id="1917"/>
      <w:bookmarkEnd w:id="1918"/>
    </w:p>
    <w:p>
      <w:pPr>
        <w:pStyle w:val="105"/>
        <w:numPr>
          <w:ilvl w:val="0"/>
          <w:numId w:val="30"/>
        </w:numPr>
        <w:spacing w:before="240" w:after="120" w:line="360" w:lineRule="auto"/>
        <w:ind w:firstLineChars="0"/>
        <w:outlineLvl w:val="1"/>
        <w:rPr>
          <w:rFonts w:ascii="宋体" w:hAnsi="宋体" w:cs="宋体"/>
          <w:szCs w:val="21"/>
        </w:rPr>
      </w:pPr>
      <w:bookmarkStart w:id="1919" w:name="_Toc23478"/>
      <w:bookmarkStart w:id="1920" w:name="_Toc8071"/>
      <w:bookmarkStart w:id="1921" w:name="_Toc532894731"/>
      <w:bookmarkStart w:id="1922" w:name="_Toc44421521"/>
      <w:bookmarkStart w:id="1923" w:name="_Toc3960"/>
      <w:bookmarkStart w:id="1924" w:name="_Toc83194964"/>
      <w:bookmarkStart w:id="1925" w:name="_Toc76632448"/>
      <w:bookmarkStart w:id="1926" w:name="_Toc26731"/>
      <w:bookmarkStart w:id="1927" w:name="_Toc49265646"/>
      <w:bookmarkStart w:id="1928" w:name="_Toc197102634"/>
      <w:bookmarkStart w:id="1929" w:name="_Toc450054189"/>
      <w:bookmarkStart w:id="1930" w:name="_Toc77434001"/>
      <w:bookmarkStart w:id="1931" w:name="_Toc443665178"/>
      <w:bookmarkStart w:id="1932" w:name="_Toc76567402"/>
      <w:bookmarkStart w:id="1933" w:name="_Toc83905583"/>
      <w:bookmarkStart w:id="1934" w:name="_Toc83905342"/>
      <w:bookmarkStart w:id="1935" w:name="_Toc469320380"/>
      <w:bookmarkStart w:id="1936" w:name="_Toc44421416"/>
      <w:bookmarkStart w:id="1937" w:name="_Toc76567255"/>
      <w:bookmarkStart w:id="1938" w:name="_Toc75004573"/>
      <w:bookmarkStart w:id="1939" w:name="_Toc441659367"/>
      <w:bookmarkStart w:id="1940" w:name="_Toc25833502"/>
      <w:bookmarkStart w:id="1941" w:name="_Toc468357251"/>
      <w:bookmarkStart w:id="1942" w:name="_Toc500941962"/>
      <w:r>
        <w:rPr>
          <w:rFonts w:hint="eastAsia" w:ascii="宋体" w:hAnsi="宋体" w:cs="宋体"/>
          <w:bCs/>
          <w:color w:val="000000"/>
          <w:kern w:val="0"/>
          <w:szCs w:val="20"/>
        </w:rPr>
        <w:t>采购产品为非进口产品（进口产品指中国海关验放进入中国境内且产自关境外的产品）</w:t>
      </w:r>
      <w:r>
        <w:rPr>
          <w:rFonts w:hint="eastAsia" w:ascii="宋体" w:hAnsi="宋体" w:cs="宋体"/>
          <w:szCs w:val="21"/>
        </w:rPr>
        <w:t>。</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pStyle w:val="105"/>
        <w:numPr>
          <w:ilvl w:val="0"/>
          <w:numId w:val="30"/>
        </w:numPr>
        <w:spacing w:before="240" w:after="120" w:line="360" w:lineRule="auto"/>
        <w:ind w:firstLineChars="0"/>
        <w:outlineLvl w:val="1"/>
        <w:rPr>
          <w:rFonts w:ascii="宋体" w:hAnsi="宋体" w:cs="宋体"/>
          <w:szCs w:val="21"/>
        </w:rPr>
      </w:pPr>
      <w:bookmarkStart w:id="1943" w:name="_Toc44421522"/>
      <w:bookmarkStart w:id="1944" w:name="_Toc15246"/>
      <w:bookmarkStart w:id="1945" w:name="_Toc532894732"/>
      <w:bookmarkStart w:id="1946" w:name="_Toc469320381"/>
      <w:bookmarkStart w:id="1947" w:name="_Toc197102635"/>
      <w:bookmarkStart w:id="1948" w:name="_Toc76567256"/>
      <w:bookmarkStart w:id="1949" w:name="_Toc500941963"/>
      <w:bookmarkStart w:id="1950" w:name="_Toc441659368"/>
      <w:bookmarkStart w:id="1951" w:name="_Toc76632449"/>
      <w:bookmarkStart w:id="1952" w:name="_Toc83905343"/>
      <w:bookmarkStart w:id="1953" w:name="_Toc76567403"/>
      <w:bookmarkStart w:id="1954" w:name="_Toc25833503"/>
      <w:bookmarkStart w:id="1955" w:name="_Toc9465"/>
      <w:bookmarkStart w:id="1956" w:name="_Toc75004574"/>
      <w:bookmarkStart w:id="1957" w:name="_Toc450054190"/>
      <w:bookmarkStart w:id="1958" w:name="_Toc77434002"/>
      <w:bookmarkStart w:id="1959" w:name="_Toc83905584"/>
      <w:bookmarkStart w:id="1960" w:name="_Toc468357252"/>
      <w:bookmarkStart w:id="1961" w:name="_Toc83194965"/>
      <w:bookmarkStart w:id="1962" w:name="_Toc17704"/>
      <w:bookmarkStart w:id="1963" w:name="_Toc15693"/>
      <w:bookmarkStart w:id="1964" w:name="_Toc49265647"/>
      <w:bookmarkStart w:id="1965" w:name="_Toc44421417"/>
      <w:bookmarkStart w:id="1966" w:name="_Toc443665179"/>
      <w:r>
        <w:rPr>
          <w:rFonts w:hint="eastAsia" w:ascii="宋体" w:hAnsi="宋体" w:cs="宋体"/>
          <w:bCs/>
          <w:color w:val="000000"/>
          <w:kern w:val="0"/>
          <w:szCs w:val="20"/>
        </w:rPr>
        <w:t>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r>
        <w:rPr>
          <w:rFonts w:hint="eastAsia" w:ascii="宋体" w:hAnsi="宋体" w:cs="宋体"/>
          <w:szCs w:val="21"/>
        </w:rPr>
        <w:t>。</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pPr>
        <w:pStyle w:val="105"/>
        <w:numPr>
          <w:ilvl w:val="0"/>
          <w:numId w:val="30"/>
        </w:numPr>
        <w:spacing w:before="240" w:after="120" w:line="360" w:lineRule="auto"/>
        <w:ind w:firstLineChars="0"/>
        <w:outlineLvl w:val="1"/>
        <w:rPr>
          <w:rFonts w:ascii="宋体" w:hAnsi="宋体" w:cs="宋体"/>
          <w:bCs/>
          <w:color w:val="000000"/>
          <w:kern w:val="0"/>
          <w:szCs w:val="20"/>
        </w:rPr>
      </w:pPr>
      <w:bookmarkStart w:id="1967" w:name="_Toc76567257"/>
      <w:bookmarkStart w:id="1968" w:name="_Toc23770"/>
      <w:bookmarkStart w:id="1969" w:name="_Toc75004575"/>
      <w:bookmarkStart w:id="1970" w:name="_Toc13523"/>
      <w:bookmarkStart w:id="1971" w:name="_Toc450054191"/>
      <w:bookmarkStart w:id="1972" w:name="_Toc44421418"/>
      <w:bookmarkStart w:id="1973" w:name="_Toc469320382"/>
      <w:bookmarkStart w:id="1974" w:name="_Toc76632450"/>
      <w:bookmarkStart w:id="1975" w:name="_Toc443665180"/>
      <w:bookmarkStart w:id="1976" w:name="_Toc76567404"/>
      <w:bookmarkStart w:id="1977" w:name="_Toc77434003"/>
      <w:bookmarkStart w:id="1978" w:name="_Toc532894733"/>
      <w:bookmarkStart w:id="1979" w:name="_Toc441659369"/>
      <w:bookmarkStart w:id="1980" w:name="_Toc500941964"/>
      <w:bookmarkStart w:id="1981" w:name="_Toc44421523"/>
      <w:bookmarkStart w:id="1982" w:name="_Toc83194966"/>
      <w:bookmarkStart w:id="1983" w:name="_Toc49265648"/>
      <w:bookmarkStart w:id="1984" w:name="_Toc197102636"/>
      <w:bookmarkStart w:id="1985" w:name="_Toc25833504"/>
      <w:bookmarkStart w:id="1986" w:name="_Toc83905585"/>
      <w:bookmarkStart w:id="1987" w:name="_Toc15771"/>
      <w:bookmarkStart w:id="1988" w:name="_Toc27712"/>
      <w:bookmarkStart w:id="1989" w:name="_Toc83905344"/>
      <w:bookmarkStart w:id="1990" w:name="_Toc468357253"/>
      <w:r>
        <w:rPr>
          <w:rFonts w:hint="eastAsia" w:ascii="宋体" w:hAnsi="宋体" w:cs="宋体"/>
          <w:bCs/>
          <w:color w:val="000000"/>
          <w:kern w:val="0"/>
          <w:szCs w:val="20"/>
        </w:rPr>
        <w:t>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bCs/>
          <w:color w:val="000000"/>
          <w:kern w:val="0"/>
          <w:szCs w:val="20"/>
        </w:rPr>
        <w:t>http://www.ccgp.gov.cn</w:t>
      </w:r>
      <w:r>
        <w:rPr>
          <w:rFonts w:hint="eastAsia" w:ascii="宋体" w:hAnsi="宋体" w:cs="宋体"/>
          <w:bCs/>
          <w:color w:val="000000"/>
          <w:kern w:val="0"/>
          <w:szCs w:val="20"/>
        </w:rPr>
        <w:fldChar w:fldCharType="end"/>
      </w:r>
      <w:r>
        <w:rPr>
          <w:rFonts w:hint="eastAsia" w:ascii="宋体" w:hAnsi="宋体" w:cs="宋体"/>
          <w:bCs/>
          <w:color w:val="000000"/>
          <w:kern w:val="0"/>
          <w:szCs w:val="20"/>
        </w:rPr>
        <w:t>/）、国家环境保护总局网（</w:t>
      </w:r>
      <w:r>
        <w:fldChar w:fldCharType="begin"/>
      </w:r>
      <w:r>
        <w:instrText xml:space="preserve"> HYPERLINK "http://www.ccgp.gov.cn/" </w:instrText>
      </w:r>
      <w:r>
        <w:fldChar w:fldCharType="separate"/>
      </w:r>
      <w:r>
        <w:rPr>
          <w:rFonts w:hint="eastAsia" w:ascii="宋体" w:hAnsi="宋体" w:cs="宋体"/>
          <w:bCs/>
          <w:color w:val="000000"/>
          <w:kern w:val="0"/>
          <w:szCs w:val="20"/>
        </w:rPr>
        <w:t>http://www.sepa.gov.cn</w:t>
      </w:r>
      <w:r>
        <w:rPr>
          <w:rFonts w:hint="eastAsia" w:ascii="宋体" w:hAnsi="宋体" w:cs="宋体"/>
          <w:bCs/>
          <w:color w:val="000000"/>
          <w:kern w:val="0"/>
          <w:szCs w:val="20"/>
        </w:rPr>
        <w:fldChar w:fldCharType="end"/>
      </w:r>
      <w:r>
        <w:rPr>
          <w:rFonts w:hint="eastAsia" w:ascii="宋体" w:hAnsi="宋体" w:cs="宋体"/>
          <w:bCs/>
          <w:color w:val="000000"/>
          <w:kern w:val="0"/>
          <w:szCs w:val="20"/>
        </w:rPr>
        <w:t>/）、中国绿色采购网（</w:t>
      </w:r>
      <w:r>
        <w:fldChar w:fldCharType="begin"/>
      </w:r>
      <w:r>
        <w:instrText xml:space="preserve"> HYPERLINK "http://www.cgpn.cn/" </w:instrText>
      </w:r>
      <w:r>
        <w:fldChar w:fldCharType="separate"/>
      </w:r>
      <w:r>
        <w:rPr>
          <w:rFonts w:hint="eastAsia" w:ascii="宋体" w:hAnsi="宋体" w:cs="宋体"/>
          <w:bCs/>
          <w:color w:val="000000"/>
          <w:kern w:val="0"/>
          <w:szCs w:val="20"/>
        </w:rPr>
        <w:t>http://www.cgpn.cn</w:t>
      </w:r>
      <w:r>
        <w:rPr>
          <w:rFonts w:hint="eastAsia" w:ascii="宋体" w:hAnsi="宋体" w:cs="宋体"/>
          <w:bCs/>
          <w:color w:val="000000"/>
          <w:kern w:val="0"/>
          <w:szCs w:val="20"/>
        </w:rPr>
        <w:fldChar w:fldCharType="end"/>
      </w:r>
      <w:r>
        <w:rPr>
          <w:rFonts w:hint="eastAsia" w:ascii="宋体" w:hAnsi="宋体" w:cs="宋体"/>
          <w:bCs/>
          <w:color w:val="000000"/>
          <w:kern w:val="0"/>
          <w:szCs w:val="20"/>
        </w:rPr>
        <w:t>/）上发布。</w:t>
      </w:r>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pPr>
        <w:pStyle w:val="105"/>
        <w:numPr>
          <w:ilvl w:val="0"/>
          <w:numId w:val="30"/>
        </w:numPr>
        <w:spacing w:before="240" w:after="120" w:line="360" w:lineRule="auto"/>
        <w:ind w:firstLineChars="0"/>
        <w:outlineLvl w:val="1"/>
        <w:rPr>
          <w:rFonts w:ascii="宋体" w:hAnsi="宋体" w:cs="宋体"/>
          <w:bCs/>
          <w:color w:val="000000"/>
          <w:kern w:val="0"/>
          <w:szCs w:val="20"/>
        </w:rPr>
      </w:pPr>
      <w:bookmarkStart w:id="1991" w:name="_Toc75004576"/>
      <w:bookmarkStart w:id="1992" w:name="_Toc6844"/>
      <w:bookmarkStart w:id="1993" w:name="_Toc4991"/>
      <w:bookmarkStart w:id="1994" w:name="_Toc83194967"/>
      <w:bookmarkStart w:id="1995" w:name="_Toc76632451"/>
      <w:bookmarkStart w:id="1996" w:name="_Toc76567258"/>
      <w:bookmarkStart w:id="1997" w:name="_Toc49265649"/>
      <w:bookmarkStart w:id="1998" w:name="_Toc44421419"/>
      <w:bookmarkStart w:id="1999" w:name="_Toc77434004"/>
      <w:bookmarkStart w:id="2000" w:name="_Toc83905586"/>
      <w:bookmarkStart w:id="2001" w:name="_Toc44421524"/>
      <w:bookmarkStart w:id="2002" w:name="_Toc43712974"/>
      <w:bookmarkStart w:id="2003" w:name="_Toc76567405"/>
      <w:bookmarkStart w:id="2004" w:name="_Toc83905345"/>
      <w:r>
        <w:rPr>
          <w:rFonts w:hint="eastAsia" w:ascii="宋体" w:hAnsi="宋体" w:cs="Arial"/>
          <w:color w:val="000000"/>
          <w:szCs w:val="21"/>
        </w:rPr>
        <w:t>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pPr>
        <w:pStyle w:val="105"/>
        <w:numPr>
          <w:ilvl w:val="0"/>
          <w:numId w:val="30"/>
        </w:numPr>
        <w:spacing w:before="240" w:after="120" w:line="360" w:lineRule="auto"/>
        <w:ind w:firstLineChars="0"/>
        <w:outlineLvl w:val="1"/>
        <w:rPr>
          <w:rFonts w:ascii="宋体"/>
          <w:szCs w:val="21"/>
        </w:rPr>
      </w:pPr>
      <w:bookmarkStart w:id="2005" w:name="_Toc76632452"/>
      <w:bookmarkStart w:id="2006" w:name="_Toc83194968"/>
      <w:bookmarkStart w:id="2007" w:name="_Toc443665181"/>
      <w:bookmarkStart w:id="2008" w:name="_Toc83905346"/>
      <w:bookmarkStart w:id="2009" w:name="_Toc450054192"/>
      <w:bookmarkStart w:id="2010" w:name="_Toc6496"/>
      <w:bookmarkStart w:id="2011" w:name="_Toc75004577"/>
      <w:bookmarkStart w:id="2012" w:name="_Toc468357254"/>
      <w:bookmarkStart w:id="2013" w:name="_Toc44421420"/>
      <w:bookmarkStart w:id="2014" w:name="_Toc500941965"/>
      <w:bookmarkStart w:id="2015" w:name="_Toc44421525"/>
      <w:bookmarkStart w:id="2016" w:name="_Toc83905587"/>
      <w:bookmarkStart w:id="2017" w:name="_Toc76567406"/>
      <w:bookmarkStart w:id="2018" w:name="_Toc1145"/>
      <w:bookmarkStart w:id="2019" w:name="_Toc469320383"/>
      <w:bookmarkStart w:id="2020" w:name="_Toc25833505"/>
      <w:bookmarkStart w:id="2021" w:name="_Toc532894734"/>
      <w:bookmarkStart w:id="2022" w:name="_Toc15556"/>
      <w:bookmarkStart w:id="2023" w:name="_Toc16769"/>
      <w:bookmarkStart w:id="2024" w:name="_Toc441659370"/>
      <w:bookmarkStart w:id="2025" w:name="_Toc76567259"/>
      <w:bookmarkStart w:id="2026" w:name="_Toc77434005"/>
      <w:bookmarkStart w:id="2027" w:name="_Toc49265650"/>
      <w:bookmarkStart w:id="2028" w:name="_Toc197102637"/>
      <w:r>
        <w:rPr>
          <w:rFonts w:hint="eastAsia" w:ascii="宋体" w:hAnsi="宋体" w:cs="宋体"/>
          <w:bCs/>
          <w:color w:val="000000"/>
          <w:kern w:val="0"/>
          <w:szCs w:val="20"/>
        </w:rPr>
        <w:t>根据《政府采购促进中小企业发展暂行方法》（财库[2011]181号）的规定，投标人投标时需注意</w:t>
      </w:r>
      <w:r>
        <w:rPr>
          <w:rFonts w:hint="eastAsia" w:ascii="宋体" w:hAnsi="宋体"/>
          <w:szCs w:val="21"/>
        </w:rPr>
        <w:t>：</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pPr>
        <w:numPr>
          <w:ilvl w:val="0"/>
          <w:numId w:val="31"/>
        </w:numPr>
        <w:spacing w:line="360" w:lineRule="auto"/>
        <w:rPr>
          <w:rFonts w:ascii="宋体"/>
          <w:szCs w:val="21"/>
        </w:rPr>
      </w:pPr>
      <w:r>
        <w:rPr>
          <w:rFonts w:hint="eastAsia" w:ascii="宋体" w:hAnsi="宋体"/>
          <w:szCs w:val="21"/>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szCs w:val="21"/>
        </w:rPr>
        <w:t>[2011]300</w:t>
      </w:r>
      <w:r>
        <w:rPr>
          <w:rFonts w:hint="eastAsia" w:ascii="宋体" w:hAnsi="宋体"/>
          <w:szCs w:val="21"/>
        </w:rPr>
        <w:t>号）执行。</w:t>
      </w:r>
    </w:p>
    <w:p>
      <w:pPr>
        <w:numPr>
          <w:ilvl w:val="0"/>
          <w:numId w:val="32"/>
        </w:numPr>
        <w:spacing w:line="360" w:lineRule="auto"/>
        <w:rPr>
          <w:rFonts w:ascii="宋体"/>
          <w:szCs w:val="21"/>
        </w:rPr>
      </w:pPr>
      <w:r>
        <w:rPr>
          <w:rFonts w:hint="eastAsia" w:ascii="宋体" w:hAnsi="宋体"/>
          <w:szCs w:val="21"/>
        </w:rPr>
        <w:t>参加政府采购活动的中小企业投标时需提供《中小企业声明函》。否则不予认可。</w:t>
      </w:r>
    </w:p>
    <w:p>
      <w:pPr>
        <w:numPr>
          <w:ilvl w:val="0"/>
          <w:numId w:val="33"/>
        </w:numPr>
        <w:spacing w:line="360" w:lineRule="auto"/>
        <w:rPr>
          <w:rFonts w:ascii="宋体"/>
          <w:szCs w:val="21"/>
        </w:rPr>
      </w:pPr>
      <w:r>
        <w:rPr>
          <w:rFonts w:hint="eastAsia" w:ascii="宋体" w:hAnsi="宋体"/>
          <w:szCs w:val="21"/>
        </w:rPr>
        <w:t>根据财库〔</w:t>
      </w:r>
      <w:r>
        <w:rPr>
          <w:rFonts w:ascii="宋体" w:hAnsi="宋体"/>
          <w:szCs w:val="21"/>
        </w:rPr>
        <w:t xml:space="preserve"> 2014</w:t>
      </w:r>
      <w:r>
        <w:rPr>
          <w:rFonts w:hint="eastAsia" w:ascii="宋体" w:hAnsi="宋体"/>
          <w:szCs w:val="21"/>
        </w:rPr>
        <w:t>〕</w:t>
      </w:r>
      <w:r>
        <w:rPr>
          <w:rFonts w:ascii="宋体" w:hAnsi="宋体"/>
          <w:szCs w:val="21"/>
        </w:rPr>
        <w:t xml:space="preserve"> 68 </w:t>
      </w:r>
      <w:r>
        <w:rPr>
          <w:rFonts w:hint="eastAsia" w:ascii="宋体" w:hAnsi="宋体"/>
          <w:szCs w:val="21"/>
        </w:rPr>
        <w:t>号《财政部</w:t>
      </w:r>
      <w:r>
        <w:rPr>
          <w:rFonts w:ascii="宋体" w:hAnsi="宋体"/>
          <w:szCs w:val="21"/>
        </w:rPr>
        <w:t xml:space="preserve"> </w:t>
      </w:r>
      <w:r>
        <w:rPr>
          <w:rFonts w:hint="eastAsia" w:ascii="宋体" w:hAnsi="宋体"/>
          <w:szCs w:val="21"/>
        </w:rPr>
        <w:t>司法部关于政府采购支持监狱企业发展有关问题的</w:t>
      </w:r>
      <w:r>
        <w:rPr>
          <w:rFonts w:ascii="宋体" w:hAnsi="宋体"/>
          <w:szCs w:val="21"/>
        </w:rPr>
        <w:t xml:space="preserve"> </w:t>
      </w:r>
      <w:r>
        <w:rPr>
          <w:rFonts w:hint="eastAsia" w:ascii="宋体" w:hAnsi="宋体"/>
          <w:szCs w:val="21"/>
        </w:rPr>
        <w:t>通知》，监狱企业视同小微企业。监狱企业是指由司法部认定的为罪犯、戒毒人员提供生产项目和劳动对象，且全部产权属于司法部监狱管理局、戒毒管理局、直属煤矿管理局，各</w:t>
      </w:r>
      <w:r>
        <w:rPr>
          <w:rFonts w:ascii="宋体" w:hAnsi="宋体"/>
          <w:szCs w:val="21"/>
        </w:rPr>
        <w:t xml:space="preserve"> </w:t>
      </w:r>
      <w:r>
        <w:rPr>
          <w:rFonts w:hint="eastAsia" w:ascii="宋体" w:hAnsi="宋体"/>
          <w:szCs w:val="21"/>
        </w:rPr>
        <w:t>省、自治区、直辖市监狱管理局、戒毒管理局，各地</w:t>
      </w:r>
      <w:r>
        <w:rPr>
          <w:rFonts w:ascii="宋体" w:hAnsi="宋体"/>
          <w:szCs w:val="21"/>
        </w:rPr>
        <w:t>(</w:t>
      </w:r>
      <w:r>
        <w:rPr>
          <w:rFonts w:hint="eastAsia" w:ascii="宋体" w:hAnsi="宋体"/>
          <w:szCs w:val="21"/>
        </w:rPr>
        <w:t>设区的市</w:t>
      </w:r>
      <w:r>
        <w:rPr>
          <w:rFonts w:ascii="宋体" w:hAnsi="宋体"/>
          <w:szCs w:val="21"/>
        </w:rPr>
        <w:t>)</w:t>
      </w:r>
      <w:r>
        <w:rPr>
          <w:rFonts w:hint="eastAsia" w:ascii="宋体" w:hAnsi="宋体"/>
          <w:szCs w:val="21"/>
        </w:rPr>
        <w:t>监狱、强制隔离戒毒所、</w:t>
      </w:r>
      <w:r>
        <w:rPr>
          <w:rFonts w:ascii="宋体" w:hAnsi="宋体"/>
          <w:szCs w:val="21"/>
        </w:rPr>
        <w:t xml:space="preserve"> </w:t>
      </w:r>
      <w:r>
        <w:rPr>
          <w:rFonts w:hint="eastAsia" w:ascii="宋体" w:hAnsi="宋体"/>
          <w:szCs w:val="21"/>
        </w:rPr>
        <w:t>戒毒康复所，以及新疆生产建设兵团监狱管理局、戒毒管理局的企业。监狱企业投标时，</w:t>
      </w:r>
      <w:r>
        <w:rPr>
          <w:rFonts w:ascii="宋体" w:hAnsi="宋体"/>
          <w:szCs w:val="21"/>
        </w:rPr>
        <w:t xml:space="preserve"> </w:t>
      </w:r>
      <w:r>
        <w:rPr>
          <w:rFonts w:hint="eastAsia" w:ascii="宋体" w:hAnsi="宋体"/>
          <w:szCs w:val="21"/>
        </w:rPr>
        <w:t>提供由省级以上监狱管理局、戒毒管理局</w:t>
      </w:r>
      <w:r>
        <w:rPr>
          <w:rFonts w:ascii="宋体" w:hAnsi="宋体"/>
          <w:szCs w:val="21"/>
        </w:rPr>
        <w:t>(</w:t>
      </w:r>
      <w:r>
        <w:rPr>
          <w:rFonts w:hint="eastAsia" w:ascii="宋体" w:hAnsi="宋体"/>
          <w:szCs w:val="21"/>
        </w:rPr>
        <w:t>含新疆生产建设兵团</w:t>
      </w:r>
      <w:r>
        <w:rPr>
          <w:rFonts w:ascii="宋体" w:hAnsi="宋体"/>
          <w:szCs w:val="21"/>
        </w:rPr>
        <w:t>)</w:t>
      </w:r>
      <w:r>
        <w:rPr>
          <w:rFonts w:hint="eastAsia" w:ascii="宋体" w:hAnsi="宋体"/>
          <w:szCs w:val="21"/>
        </w:rPr>
        <w:t>出具的属于监狱企业的证明文件，不再提供《中小微企业声明函》。</w:t>
      </w:r>
    </w:p>
    <w:p>
      <w:pPr>
        <w:numPr>
          <w:ilvl w:val="0"/>
          <w:numId w:val="34"/>
        </w:numPr>
        <w:spacing w:line="360" w:lineRule="auto"/>
        <w:rPr>
          <w:rFonts w:ascii="宋体"/>
          <w:szCs w:val="21"/>
        </w:rPr>
      </w:pPr>
      <w:r>
        <w:rPr>
          <w:rFonts w:hint="eastAsia" w:ascii="宋体" w:hAnsi="宋体"/>
          <w:szCs w:val="21"/>
        </w:rPr>
        <w:t>对于非专门面向中小微型企业采购的项目，依照《政府采购促进中小企业发展暂行办法》的规定，凡符合要求的有效投标人，按照以下比例给予相应的价格扣除：</w:t>
      </w:r>
    </w:p>
    <w:tbl>
      <w:tblPr>
        <w:tblStyle w:val="52"/>
        <w:tblW w:w="8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7"/>
        <w:gridCol w:w="2557"/>
        <w:gridCol w:w="2590"/>
        <w:gridCol w:w="2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377" w:type="dxa"/>
            <w:vAlign w:val="center"/>
          </w:tcPr>
          <w:p>
            <w:pPr>
              <w:spacing w:line="360" w:lineRule="auto"/>
              <w:jc w:val="center"/>
              <w:rPr>
                <w:rFonts w:ascii="宋体"/>
                <w:b/>
                <w:szCs w:val="21"/>
              </w:rPr>
            </w:pPr>
            <w:r>
              <w:rPr>
                <w:rFonts w:hint="eastAsia" w:ascii="宋体" w:hAnsi="宋体"/>
                <w:b/>
                <w:szCs w:val="21"/>
              </w:rPr>
              <w:t>序号</w:t>
            </w:r>
          </w:p>
        </w:tc>
        <w:tc>
          <w:tcPr>
            <w:tcW w:w="2557" w:type="dxa"/>
            <w:vAlign w:val="center"/>
          </w:tcPr>
          <w:p>
            <w:pPr>
              <w:spacing w:line="360" w:lineRule="auto"/>
              <w:jc w:val="center"/>
              <w:rPr>
                <w:rFonts w:ascii="宋体"/>
                <w:b/>
                <w:szCs w:val="21"/>
              </w:rPr>
            </w:pPr>
            <w:r>
              <w:rPr>
                <w:rFonts w:hint="eastAsia" w:ascii="宋体" w:hAnsi="宋体"/>
                <w:b/>
                <w:szCs w:val="21"/>
              </w:rPr>
              <w:t>情形</w:t>
            </w:r>
          </w:p>
        </w:tc>
        <w:tc>
          <w:tcPr>
            <w:tcW w:w="2590" w:type="dxa"/>
            <w:vAlign w:val="center"/>
          </w:tcPr>
          <w:p>
            <w:pPr>
              <w:spacing w:line="360" w:lineRule="auto"/>
              <w:jc w:val="center"/>
              <w:rPr>
                <w:rFonts w:ascii="宋体"/>
                <w:b/>
                <w:szCs w:val="21"/>
              </w:rPr>
            </w:pPr>
            <w:r>
              <w:rPr>
                <w:rFonts w:hint="eastAsia" w:ascii="宋体" w:hAnsi="宋体"/>
                <w:b/>
                <w:szCs w:val="21"/>
              </w:rPr>
              <w:t>价格扣除比例（编制文件时由采购人确定）</w:t>
            </w:r>
          </w:p>
        </w:tc>
        <w:tc>
          <w:tcPr>
            <w:tcW w:w="2882" w:type="dxa"/>
            <w:vAlign w:val="center"/>
          </w:tcPr>
          <w:p>
            <w:pPr>
              <w:spacing w:line="360" w:lineRule="auto"/>
              <w:jc w:val="center"/>
              <w:rPr>
                <w:rFonts w:ascii="宋体"/>
                <w:b/>
                <w:szCs w:val="21"/>
              </w:rPr>
            </w:pPr>
            <w:r>
              <w:rPr>
                <w:rFonts w:hint="eastAsia" w:ascii="宋体" w:hAnsi="宋体"/>
                <w:b/>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377" w:type="dxa"/>
            <w:vAlign w:val="center"/>
          </w:tcPr>
          <w:p>
            <w:pPr>
              <w:spacing w:line="360" w:lineRule="auto"/>
              <w:jc w:val="center"/>
              <w:rPr>
                <w:rFonts w:ascii="宋体"/>
                <w:szCs w:val="21"/>
              </w:rPr>
            </w:pPr>
            <w:r>
              <w:rPr>
                <w:rFonts w:ascii="宋体" w:hAnsi="宋体"/>
                <w:szCs w:val="21"/>
              </w:rPr>
              <w:t>1</w:t>
            </w:r>
          </w:p>
        </w:tc>
        <w:tc>
          <w:tcPr>
            <w:tcW w:w="2557" w:type="dxa"/>
            <w:vAlign w:val="center"/>
          </w:tcPr>
          <w:p>
            <w:pPr>
              <w:spacing w:line="360" w:lineRule="auto"/>
              <w:jc w:val="center"/>
              <w:rPr>
                <w:rFonts w:ascii="宋体"/>
                <w:szCs w:val="21"/>
              </w:rPr>
            </w:pPr>
            <w:r>
              <w:rPr>
                <w:rFonts w:hint="eastAsia" w:ascii="宋体" w:hAnsi="宋体"/>
                <w:szCs w:val="21"/>
              </w:rPr>
              <w:t>非联合体供应商（供应商须为小型、微型企业）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p>
        </w:tc>
        <w:tc>
          <w:tcPr>
            <w:tcW w:w="2882" w:type="dxa"/>
            <w:vMerge w:val="restart"/>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szCs w:val="21"/>
              </w:rPr>
              <w:t>-</w:t>
            </w:r>
            <w:r>
              <w:rPr>
                <w:rFonts w:hint="eastAsia" w:ascii="宋体" w:hAnsi="宋体"/>
                <w:szCs w:val="21"/>
              </w:rPr>
              <w:t>小型和微型企业产品的价格×</w:t>
            </w:r>
            <w:r>
              <w:rPr>
                <w:rFonts w:ascii="宋体" w:hAnsi="宋体"/>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377" w:type="dxa"/>
            <w:vAlign w:val="center"/>
          </w:tcPr>
          <w:p>
            <w:pPr>
              <w:spacing w:line="360" w:lineRule="auto"/>
              <w:jc w:val="center"/>
              <w:rPr>
                <w:rFonts w:ascii="宋体"/>
                <w:szCs w:val="21"/>
              </w:rPr>
            </w:pPr>
            <w:r>
              <w:rPr>
                <w:rFonts w:ascii="宋体" w:hAnsi="宋体"/>
                <w:szCs w:val="21"/>
              </w:rPr>
              <w:t>2</w:t>
            </w:r>
          </w:p>
        </w:tc>
        <w:tc>
          <w:tcPr>
            <w:tcW w:w="2557" w:type="dxa"/>
            <w:vAlign w:val="center"/>
          </w:tcPr>
          <w:p>
            <w:pPr>
              <w:spacing w:line="360" w:lineRule="auto"/>
              <w:jc w:val="center"/>
              <w:rPr>
                <w:rFonts w:ascii="宋体"/>
                <w:szCs w:val="21"/>
              </w:rPr>
            </w:pPr>
            <w:r>
              <w:rPr>
                <w:rFonts w:hint="eastAsia" w:ascii="宋体" w:hAnsi="宋体"/>
                <w:szCs w:val="21"/>
              </w:rPr>
              <w:t>联合体各方均为小型、微型企业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r>
              <w:rPr>
                <w:rFonts w:ascii="宋体" w:hAnsi="宋体"/>
                <w:szCs w:val="21"/>
              </w:rPr>
              <w:t>(</w:t>
            </w:r>
            <w:r>
              <w:rPr>
                <w:rFonts w:hint="eastAsia" w:ascii="宋体" w:hAnsi="宋体"/>
                <w:szCs w:val="21"/>
              </w:rPr>
              <w:t>不再享受序号</w:t>
            </w:r>
            <w:r>
              <w:rPr>
                <w:rFonts w:ascii="宋体" w:hAnsi="宋体"/>
                <w:szCs w:val="21"/>
              </w:rPr>
              <w:t>3</w:t>
            </w:r>
            <w:r>
              <w:rPr>
                <w:rFonts w:hint="eastAsia" w:ascii="宋体" w:hAnsi="宋体"/>
                <w:szCs w:val="21"/>
              </w:rPr>
              <w:t>的价格折扣</w:t>
            </w:r>
            <w:r>
              <w:rPr>
                <w:rFonts w:ascii="宋体" w:hAnsi="宋体"/>
                <w:szCs w:val="21"/>
              </w:rPr>
              <w:t>)</w:t>
            </w:r>
          </w:p>
        </w:tc>
        <w:tc>
          <w:tcPr>
            <w:tcW w:w="2882" w:type="dxa"/>
            <w:vMerge w:val="continue"/>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jc w:val="center"/>
        </w:trPr>
        <w:tc>
          <w:tcPr>
            <w:tcW w:w="377" w:type="dxa"/>
            <w:vAlign w:val="center"/>
          </w:tcPr>
          <w:p>
            <w:pPr>
              <w:spacing w:line="360" w:lineRule="auto"/>
              <w:jc w:val="center"/>
              <w:rPr>
                <w:rFonts w:ascii="宋体"/>
                <w:szCs w:val="21"/>
              </w:rPr>
            </w:pPr>
            <w:r>
              <w:rPr>
                <w:rFonts w:ascii="宋体" w:hAnsi="宋体"/>
                <w:szCs w:val="21"/>
              </w:rPr>
              <w:t>3</w:t>
            </w:r>
          </w:p>
        </w:tc>
        <w:tc>
          <w:tcPr>
            <w:tcW w:w="2557" w:type="dxa"/>
            <w:vAlign w:val="center"/>
          </w:tcPr>
          <w:p>
            <w:pPr>
              <w:spacing w:line="360" w:lineRule="auto"/>
              <w:jc w:val="center"/>
              <w:rPr>
                <w:rFonts w:ascii="宋体"/>
                <w:szCs w:val="21"/>
              </w:rPr>
            </w:pPr>
            <w:r>
              <w:rPr>
                <w:rFonts w:hint="eastAsia" w:ascii="宋体" w:hAnsi="宋体"/>
                <w:szCs w:val="21"/>
              </w:rPr>
              <w:t>联合体一方为小型、微型企业且小型、微型企业协议合同金额占联合体协议合同总金额</w:t>
            </w:r>
            <w:r>
              <w:rPr>
                <w:rFonts w:ascii="宋体" w:hAnsi="宋体"/>
                <w:szCs w:val="21"/>
              </w:rPr>
              <w:t>30%</w:t>
            </w:r>
            <w:r>
              <w:rPr>
                <w:rFonts w:hint="eastAsia" w:ascii="宋体" w:hAnsi="宋体"/>
                <w:szCs w:val="21"/>
              </w:rPr>
              <w:t>以上的</w:t>
            </w:r>
          </w:p>
        </w:tc>
        <w:tc>
          <w:tcPr>
            <w:tcW w:w="2590" w:type="dxa"/>
            <w:vAlign w:val="center"/>
          </w:tcPr>
          <w:p>
            <w:pPr>
              <w:spacing w:line="360" w:lineRule="auto"/>
              <w:jc w:val="center"/>
              <w:rPr>
                <w:rFonts w:ascii="宋体"/>
                <w:szCs w:val="21"/>
              </w:rPr>
            </w:pPr>
            <w:r>
              <w:rPr>
                <w:rFonts w:hint="eastAsia" w:ascii="宋体" w:hAnsi="宋体"/>
                <w:szCs w:val="21"/>
              </w:rPr>
              <w:t>对联合体总金额扣除</w:t>
            </w:r>
            <w:r>
              <w:rPr>
                <w:rFonts w:ascii="宋体" w:hAnsi="宋体"/>
                <w:szCs w:val="21"/>
                <w:u w:val="single"/>
              </w:rPr>
              <w:t>2%</w:t>
            </w:r>
          </w:p>
        </w:tc>
        <w:tc>
          <w:tcPr>
            <w:tcW w:w="2882" w:type="dxa"/>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hAnsi="宋体"/>
                <w:szCs w:val="21"/>
              </w:rPr>
              <w:t>1-</w:t>
            </w:r>
            <w:r>
              <w:rPr>
                <w:rFonts w:ascii="宋体" w:hAnsi="宋体"/>
                <w:szCs w:val="21"/>
                <w:u w:val="single"/>
              </w:rPr>
              <w:t>2%</w:t>
            </w:r>
            <w:r>
              <w:rPr>
                <w:rFonts w:hint="eastAsia" w:ascii="宋体" w:hAnsi="宋体"/>
                <w:szCs w:val="21"/>
              </w:rPr>
              <w:t>）</w:t>
            </w:r>
          </w:p>
        </w:tc>
      </w:tr>
    </w:tbl>
    <w:p>
      <w:pPr>
        <w:widowControl/>
        <w:tabs>
          <w:tab w:val="left" w:pos="753"/>
        </w:tabs>
        <w:adjustRightInd w:val="0"/>
        <w:snapToGrid w:val="0"/>
        <w:spacing w:line="360" w:lineRule="auto"/>
        <w:ind w:left="753" w:hanging="753"/>
        <w:jc w:val="left"/>
        <w:rPr>
          <w:rFonts w:ascii="宋体" w:hAnsi="宋体" w:cs="Arial"/>
          <w:color w:val="000000"/>
          <w:szCs w:val="21"/>
        </w:rPr>
        <w:sectPr>
          <w:pgSz w:w="11906" w:h="16838"/>
          <w:pgMar w:top="1440" w:right="1701" w:bottom="1440" w:left="1701" w:header="851" w:footer="851" w:gutter="0"/>
          <w:cols w:space="720" w:num="1"/>
          <w:titlePg/>
          <w:docGrid w:linePitch="312" w:charSpace="0"/>
        </w:sectPr>
      </w:pPr>
    </w:p>
    <w:bookmarkEnd w:id="1625"/>
    <w:bookmarkEnd w:id="1626"/>
    <w:bookmarkEnd w:id="1627"/>
    <w:bookmarkEnd w:id="1628"/>
    <w:bookmarkEnd w:id="1629"/>
    <w:bookmarkEnd w:id="1630"/>
    <w:bookmarkEnd w:id="1631"/>
    <w:bookmarkEnd w:id="1632"/>
    <w:bookmarkEnd w:id="1633"/>
    <w:bookmarkEnd w:id="1634"/>
    <w:p>
      <w:pPr>
        <w:pStyle w:val="4"/>
        <w:numPr>
          <w:ilvl w:val="0"/>
          <w:numId w:val="35"/>
        </w:numPr>
        <w:spacing w:before="240"/>
        <w:rPr>
          <w:rFonts w:hint="default" w:eastAsia="宋体"/>
          <w:lang w:val="en-US" w:eastAsia="zh-CN"/>
        </w:rPr>
      </w:pPr>
      <w:bookmarkStart w:id="2029" w:name="_Hlt21939000"/>
      <w:bookmarkEnd w:id="2029"/>
      <w:bookmarkStart w:id="2030" w:name="_Toc349127635"/>
      <w:bookmarkStart w:id="2031" w:name="_Toc349143598"/>
      <w:bookmarkStart w:id="2032" w:name="_Toc341348347"/>
      <w:bookmarkStart w:id="2033" w:name="_Toc366072538"/>
      <w:bookmarkStart w:id="2034" w:name="_Toc342296769"/>
      <w:bookmarkStart w:id="2035" w:name="_Toc331684047"/>
      <w:bookmarkStart w:id="2036" w:name="_Toc337632367"/>
      <w:bookmarkStart w:id="2037" w:name="_Toc345513910"/>
      <w:bookmarkStart w:id="2038" w:name="_Toc408126473"/>
      <w:bookmarkStart w:id="2039" w:name="_Toc339362309"/>
      <w:bookmarkStart w:id="2040" w:name="_Toc339441096"/>
      <w:bookmarkStart w:id="2041" w:name="_Toc333237686"/>
      <w:bookmarkStart w:id="2042" w:name="_Toc333237797"/>
      <w:bookmarkStart w:id="2043" w:name="_Toc331512907"/>
      <w:bookmarkStart w:id="2044" w:name="_Toc336681589"/>
      <w:bookmarkStart w:id="2045" w:name="_Toc4636"/>
      <w:bookmarkStart w:id="2046" w:name="_Toc333935696"/>
      <w:bookmarkStart w:id="2047" w:name="_Toc330459994"/>
      <w:bookmarkStart w:id="2048" w:name="_Toc83905588"/>
      <w:bookmarkStart w:id="2049" w:name="_Toc49265651"/>
      <w:bookmarkStart w:id="2050" w:name="_Toc365985187"/>
      <w:bookmarkStart w:id="2051" w:name="_Toc20503"/>
      <w:bookmarkStart w:id="2052" w:name="_Toc333238642"/>
      <w:bookmarkStart w:id="2053" w:name="_Toc339020024"/>
      <w:bookmarkStart w:id="2054" w:name="_Toc25162"/>
      <w:bookmarkStart w:id="2055" w:name="_Toc332206717"/>
      <w:bookmarkStart w:id="2056" w:name="_Toc374454610"/>
      <w:bookmarkStart w:id="2057" w:name="_Toc350756459"/>
      <w:bookmarkStart w:id="2058" w:name="_Toc340507451"/>
      <w:bookmarkStart w:id="2059" w:name="_Toc14026"/>
      <w:bookmarkStart w:id="2060" w:name="_Toc336681944"/>
      <w:bookmarkStart w:id="2061" w:name="_Toc350438758"/>
      <w:bookmarkStart w:id="2062" w:name="_Toc4252"/>
      <w:bookmarkStart w:id="2063" w:name="_Toc333935355"/>
      <w:bookmarkStart w:id="2064" w:name="_Toc340677079"/>
      <w:bookmarkStart w:id="2065" w:name="_Toc332270355"/>
      <w:bookmarkStart w:id="2066" w:name="_Toc339020104"/>
      <w:bookmarkStart w:id="2067" w:name="_Toc340672878"/>
      <w:bookmarkStart w:id="2068" w:name="_Toc339019898"/>
      <w:bookmarkStart w:id="2069" w:name="_Toc2862"/>
      <w:bookmarkStart w:id="2070" w:name="_Toc365967081"/>
      <w:bookmarkStart w:id="2071" w:name="_Toc339020242"/>
      <w:bookmarkStart w:id="2072" w:name="_Toc342060383"/>
      <w:bookmarkStart w:id="2073" w:name="_Toc31600"/>
      <w:r>
        <w:rPr>
          <w:rFonts w:hint="eastAsia" w:ascii="宋体" w:hAnsi="宋体" w:eastAsia="宋体"/>
          <w:b/>
          <w:color w:val="000000"/>
        </w:rPr>
        <w:t xml:space="preserve"> 参考合同</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pPr>
        <w:rPr>
          <w:bCs/>
          <w:color w:val="000000"/>
        </w:rPr>
      </w:pPr>
      <w:bookmarkStart w:id="2074" w:name="_Hlt97188170"/>
      <w:bookmarkEnd w:id="2074"/>
    </w:p>
    <w:p>
      <w:pPr>
        <w:spacing w:line="360" w:lineRule="auto"/>
        <w:jc w:val="center"/>
        <w:rPr>
          <w:rFonts w:ascii="Times New Roman" w:hAnsi="Times New Roman" w:eastAsia="宋体" w:cs="Times New Roman"/>
          <w:b/>
          <w:bCs/>
          <w:sz w:val="28"/>
          <w:szCs w:val="28"/>
        </w:rPr>
      </w:pPr>
      <w:bookmarkStart w:id="2075" w:name="_Toc491658678"/>
      <w:bookmarkStart w:id="2076" w:name="_Toc331684048"/>
      <w:bookmarkStart w:id="2077" w:name="_Toc342060384"/>
      <w:bookmarkStart w:id="2078" w:name="_Toc349143599"/>
      <w:bookmarkStart w:id="2079" w:name="_Toc342296770"/>
      <w:bookmarkStart w:id="2080" w:name="_Toc365967082"/>
      <w:bookmarkStart w:id="2081" w:name="_Toc336681590"/>
      <w:bookmarkStart w:id="2082" w:name="_Toc366072539"/>
      <w:bookmarkStart w:id="2083" w:name="_Toc339441097"/>
      <w:bookmarkStart w:id="2084" w:name="_Toc339020243"/>
      <w:bookmarkStart w:id="2085" w:name="_Toc331512908"/>
      <w:bookmarkStart w:id="2086" w:name="_Toc333238643"/>
      <w:bookmarkStart w:id="2087" w:name="_Toc333237798"/>
      <w:bookmarkStart w:id="2088" w:name="_Toc350438759"/>
      <w:bookmarkStart w:id="2089" w:name="_Toc340507452"/>
      <w:bookmarkStart w:id="2090" w:name="_Toc345513911"/>
      <w:bookmarkStart w:id="2091" w:name="_Toc339362310"/>
      <w:bookmarkStart w:id="2092" w:name="_Toc333935697"/>
      <w:bookmarkStart w:id="2093" w:name="_Toc365985188"/>
      <w:bookmarkStart w:id="2094" w:name="_Toc333237687"/>
      <w:bookmarkStart w:id="2095" w:name="_Toc332206718"/>
      <w:bookmarkStart w:id="2096" w:name="_Toc350756460"/>
      <w:bookmarkStart w:id="2097" w:name="_Toc330459995"/>
      <w:bookmarkStart w:id="2098" w:name="_Toc341348348"/>
      <w:bookmarkStart w:id="2099" w:name="_Toc336681945"/>
      <w:bookmarkStart w:id="2100" w:name="_Toc339020025"/>
      <w:bookmarkStart w:id="2101" w:name="_Toc332270356"/>
      <w:bookmarkStart w:id="2102" w:name="_Toc339020105"/>
      <w:bookmarkStart w:id="2103" w:name="_Toc340672879"/>
      <w:bookmarkStart w:id="2104" w:name="_Toc340677080"/>
      <w:bookmarkStart w:id="2105" w:name="_Toc339019899"/>
      <w:bookmarkStart w:id="2106" w:name="_Toc337632368"/>
      <w:bookmarkStart w:id="2107" w:name="_Toc500861025"/>
      <w:bookmarkStart w:id="2108" w:name="_Toc333935356"/>
      <w:bookmarkStart w:id="2109" w:name="_Toc349127636"/>
      <w:r>
        <w:rPr>
          <w:rFonts w:hint="eastAsia" w:ascii="Times New Roman" w:hAnsi="Times New Roman" w:eastAsia="宋体" w:cs="Times New Roman"/>
          <w:b/>
          <w:bCs/>
          <w:sz w:val="28"/>
          <w:szCs w:val="28"/>
          <w:lang w:eastAsia="zh-CN"/>
        </w:rPr>
        <w:t>阳江市妇幼保健院一期特殊科室（手术室、NICU、产房、检验科PCR实验室、妇科门诊手术室）洁净区域维保服务采购项目</w:t>
      </w:r>
      <w:r>
        <w:rPr>
          <w:rFonts w:ascii="Times New Roman" w:hAnsi="Times New Roman" w:eastAsia="宋体" w:cs="Times New Roman"/>
          <w:b/>
          <w:bCs/>
          <w:sz w:val="28"/>
          <w:szCs w:val="28"/>
        </w:rPr>
        <w:t>（合同编号：         ）</w:t>
      </w:r>
    </w:p>
    <w:p>
      <w:pPr>
        <w:pStyle w:val="2"/>
        <w:numPr>
          <w:ilvl w:val="0"/>
          <w:numId w:val="0"/>
        </w:numPr>
        <w:ind w:leftChars="0"/>
        <w:rPr>
          <w:rFonts w:ascii="Times New Roman" w:hAnsi="Times New Roman" w:eastAsia="宋体" w:cs="Times New Roman"/>
          <w:b/>
          <w:bCs/>
          <w:sz w:val="28"/>
          <w:szCs w:val="28"/>
        </w:rPr>
      </w:pPr>
    </w:p>
    <w:p>
      <w:pPr>
        <w:pStyle w:val="3"/>
        <w:rPr>
          <w:rFonts w:hint="default" w:eastAsia="宋体"/>
          <w:lang w:val="en-US" w:eastAsia="zh-CN"/>
        </w:rPr>
      </w:pPr>
      <w:r>
        <w:rPr>
          <w:rFonts w:hint="eastAsia"/>
          <w:lang w:val="en-US" w:eastAsia="zh-CN"/>
        </w:rPr>
        <w:t>注：合同模板仅供参考，实际签订内容根据实际情况内签署。</w:t>
      </w: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tbl>
      <w:tblPr>
        <w:tblStyle w:val="52"/>
        <w:tblW w:w="7310" w:type="dxa"/>
        <w:jc w:val="center"/>
        <w:tblLayout w:type="fixed"/>
        <w:tblCellMar>
          <w:top w:w="0" w:type="dxa"/>
          <w:left w:w="108" w:type="dxa"/>
          <w:bottom w:w="0" w:type="dxa"/>
          <w:right w:w="108" w:type="dxa"/>
        </w:tblCellMar>
      </w:tblPr>
      <w:tblGrid>
        <w:gridCol w:w="2349"/>
        <w:gridCol w:w="4961"/>
      </w:tblGrid>
      <w:tr>
        <w:tblPrEx>
          <w:tblCellMar>
            <w:top w:w="0" w:type="dxa"/>
            <w:left w:w="108" w:type="dxa"/>
            <w:bottom w:w="0" w:type="dxa"/>
            <w:right w:w="108" w:type="dxa"/>
          </w:tblCellMar>
        </w:tblPrEx>
        <w:trPr>
          <w:trHeight w:val="770" w:hRule="atLeast"/>
          <w:jc w:val="center"/>
        </w:trPr>
        <w:tc>
          <w:tcPr>
            <w:tcW w:w="2349" w:type="dxa"/>
          </w:tcPr>
          <w:p>
            <w:pPr>
              <w:spacing w:line="360" w:lineRule="auto"/>
              <w:rPr>
                <w:b/>
                <w:bCs/>
                <w:sz w:val="28"/>
                <w:szCs w:val="28"/>
              </w:rPr>
            </w:pPr>
            <w:r>
              <w:rPr>
                <w:b/>
                <w:bCs/>
                <w:sz w:val="28"/>
                <w:szCs w:val="28"/>
              </w:rPr>
              <w:t>甲方（采购人）：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8" w:hRule="atLeast"/>
          <w:jc w:val="center"/>
        </w:trPr>
        <w:tc>
          <w:tcPr>
            <w:tcW w:w="2349" w:type="dxa"/>
          </w:tcPr>
          <w:p>
            <w:pPr>
              <w:spacing w:line="360" w:lineRule="auto"/>
              <w:rPr>
                <w:b/>
                <w:bCs/>
                <w:sz w:val="28"/>
                <w:szCs w:val="28"/>
              </w:rPr>
            </w:pPr>
            <w:r>
              <w:rPr>
                <w:b/>
                <w:bCs/>
                <w:sz w:val="28"/>
                <w:szCs w:val="28"/>
              </w:rPr>
              <w:t>乙方（中标人）：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6" w:hRule="atLeast"/>
          <w:jc w:val="center"/>
        </w:trPr>
        <w:tc>
          <w:tcPr>
            <w:tcW w:w="2349" w:type="dxa"/>
          </w:tcPr>
          <w:p>
            <w:pPr>
              <w:spacing w:line="360" w:lineRule="auto"/>
              <w:rPr>
                <w:b/>
                <w:bCs/>
                <w:spacing w:val="9"/>
                <w:sz w:val="28"/>
                <w:szCs w:val="28"/>
              </w:rPr>
            </w:pPr>
            <w:r>
              <w:rPr>
                <w:b/>
                <w:bCs/>
                <w:spacing w:val="9"/>
                <w:sz w:val="28"/>
                <w:szCs w:val="28"/>
              </w:rPr>
              <w:t>协议签订时间：</w:t>
            </w:r>
          </w:p>
        </w:tc>
        <w:tc>
          <w:tcPr>
            <w:tcW w:w="4961" w:type="dxa"/>
          </w:tcPr>
          <w:p>
            <w:pPr>
              <w:spacing w:line="360" w:lineRule="auto"/>
              <w:rPr>
                <w:b/>
                <w:bCs/>
                <w:sz w:val="28"/>
                <w:szCs w:val="28"/>
                <w:u w:val="single"/>
              </w:rPr>
            </w:pPr>
            <w:r>
              <w:rPr>
                <w:b/>
                <w:bCs/>
                <w:sz w:val="28"/>
                <w:szCs w:val="28"/>
                <w:u w:val="single"/>
              </w:rPr>
              <w:t xml:space="preserve">                                            </w:t>
            </w:r>
          </w:p>
        </w:tc>
      </w:tr>
    </w:tbl>
    <w:p>
      <w:pPr>
        <w:spacing w:line="360" w:lineRule="auto"/>
        <w:rPr>
          <w:b/>
          <w:bCs/>
          <w:szCs w:val="21"/>
        </w:rPr>
      </w:pPr>
    </w:p>
    <w:p>
      <w:pPr>
        <w:spacing w:line="360" w:lineRule="auto"/>
        <w:rPr>
          <w:b/>
          <w:bCs/>
          <w:szCs w:val="21"/>
        </w:rPr>
      </w:pPr>
    </w:p>
    <w:p>
      <w:pPr>
        <w:spacing w:line="360" w:lineRule="auto"/>
        <w:rPr>
          <w:b/>
          <w:bCs/>
          <w:szCs w:val="21"/>
        </w:rPr>
      </w:pPr>
    </w:p>
    <w:p>
      <w:pPr>
        <w:tabs>
          <w:tab w:val="left" w:pos="720"/>
        </w:tabs>
        <w:spacing w:line="360" w:lineRule="auto"/>
        <w:jc w:val="center"/>
        <w:rPr>
          <w:rFonts w:hint="eastAsia"/>
          <w:spacing w:val="20"/>
          <w:sz w:val="28"/>
          <w:szCs w:val="28"/>
        </w:rPr>
      </w:pPr>
      <w:r>
        <w:rPr>
          <w:spacing w:val="20"/>
          <w:sz w:val="28"/>
          <w:szCs w:val="28"/>
        </w:rPr>
        <w:t>二〇二</w:t>
      </w:r>
      <w:r>
        <w:rPr>
          <w:rFonts w:hint="eastAsia"/>
          <w:spacing w:val="20"/>
          <w:sz w:val="28"/>
          <w:szCs w:val="28"/>
          <w:lang w:val="en-US" w:eastAsia="zh-CN"/>
        </w:rPr>
        <w:t>五</w:t>
      </w:r>
      <w:r>
        <w:rPr>
          <w:spacing w:val="20"/>
          <w:sz w:val="28"/>
          <w:szCs w:val="28"/>
        </w:rPr>
        <w:t>年</w:t>
      </w:r>
      <w:r>
        <w:rPr>
          <w:spacing w:val="20"/>
          <w:sz w:val="28"/>
          <w:szCs w:val="28"/>
          <w:u w:val="single"/>
        </w:rPr>
        <w:t xml:space="preserve">   </w:t>
      </w:r>
      <w:r>
        <w:rPr>
          <w:spacing w:val="20"/>
          <w:sz w:val="28"/>
          <w:szCs w:val="28"/>
        </w:rPr>
        <w:t>月于</w:t>
      </w:r>
      <w:r>
        <w:rPr>
          <w:rFonts w:hint="eastAsia"/>
          <w:spacing w:val="20"/>
          <w:sz w:val="28"/>
          <w:szCs w:val="28"/>
        </w:rPr>
        <w:t>阳江</w:t>
      </w:r>
    </w:p>
    <w:p>
      <w:pPr>
        <w:pStyle w:val="3"/>
        <w:rPr>
          <w:rFonts w:hint="eastAsia"/>
          <w:spacing w:val="20"/>
          <w:sz w:val="28"/>
          <w:szCs w:val="28"/>
        </w:rPr>
      </w:pPr>
    </w:p>
    <w:p>
      <w:pPr>
        <w:pStyle w:val="3"/>
        <w:rPr>
          <w:rFonts w:hint="eastAsia"/>
          <w:spacing w:val="20"/>
          <w:sz w:val="28"/>
          <w:szCs w:val="28"/>
        </w:rPr>
      </w:pPr>
    </w:p>
    <w:p>
      <w:pPr>
        <w:pStyle w:val="3"/>
        <w:rPr>
          <w:rFonts w:hint="eastAsia"/>
          <w:spacing w:val="20"/>
          <w:sz w:val="28"/>
          <w:szCs w:val="28"/>
        </w:rPr>
      </w:pPr>
    </w:p>
    <w:p>
      <w:pPr>
        <w:pStyle w:val="2"/>
        <w:numPr>
          <w:ilvl w:val="0"/>
          <w:numId w:val="0"/>
        </w:numPr>
        <w:ind w:leftChars="0"/>
      </w:pPr>
    </w:p>
    <w:p>
      <w:pPr>
        <w:pStyle w:val="3"/>
      </w:pPr>
    </w:p>
    <w:p>
      <w:pPr>
        <w:pStyle w:val="3"/>
        <w:rPr>
          <w:b/>
          <w:spacing w:val="20"/>
          <w:szCs w:val="21"/>
        </w:rPr>
      </w:pPr>
    </w:p>
    <w:p>
      <w:pPr>
        <w:pStyle w:val="3"/>
        <w:rPr>
          <w:b/>
          <w:spacing w:val="20"/>
          <w:szCs w:val="21"/>
        </w:rPr>
      </w:pPr>
    </w:p>
    <w:p>
      <w:pPr>
        <w:pStyle w:val="3"/>
        <w:rPr>
          <w:b/>
          <w:spacing w:val="20"/>
          <w:szCs w:val="21"/>
        </w:rPr>
      </w:pPr>
    </w:p>
    <w:p>
      <w:pPr>
        <w:pStyle w:val="3"/>
        <w:rPr>
          <w:b/>
          <w:spacing w:val="20"/>
          <w:szCs w:val="21"/>
        </w:rPr>
      </w:pPr>
    </w:p>
    <w:p>
      <w:pPr>
        <w:pStyle w:val="3"/>
        <w:rPr>
          <w:b/>
          <w:spacing w:val="20"/>
          <w:szCs w:val="21"/>
        </w:rPr>
      </w:pPr>
    </w:p>
    <w:p>
      <w:pPr>
        <w:pStyle w:val="3"/>
        <w:rPr>
          <w:b/>
          <w:spacing w:val="20"/>
          <w:szCs w:val="21"/>
        </w:rPr>
      </w:pPr>
    </w:p>
    <w:p>
      <w:pPr>
        <w:pStyle w:val="3"/>
        <w:rPr>
          <w:b/>
          <w:spacing w:val="20"/>
          <w:szCs w:val="21"/>
        </w:rPr>
      </w:pPr>
    </w:p>
    <w:p>
      <w:pPr>
        <w:pStyle w:val="3"/>
        <w:rPr>
          <w:b/>
          <w:spacing w:val="20"/>
          <w:szCs w:val="21"/>
        </w:rPr>
      </w:pPr>
    </w:p>
    <w:p>
      <w:pPr>
        <w:pStyle w:val="3"/>
        <w:rPr>
          <w:b/>
          <w:spacing w:val="20"/>
          <w:szCs w:val="21"/>
        </w:rPr>
      </w:pPr>
    </w:p>
    <w:p>
      <w:pPr>
        <w:pStyle w:val="3"/>
        <w:rPr>
          <w:b/>
          <w:spacing w:val="20"/>
          <w:szCs w:val="21"/>
        </w:rPr>
      </w:pPr>
    </w:p>
    <w:p>
      <w:pPr>
        <w:spacing w:line="360" w:lineRule="auto"/>
        <w:rPr>
          <w:rFonts w:hint="eastAsia" w:ascii="宋体" w:hAnsi="宋体" w:eastAsia="宋体" w:cs="Times New Roman"/>
          <w:bCs/>
          <w:color w:val="000000" w:themeColor="text1"/>
          <w:kern w:val="0"/>
          <w:sz w:val="21"/>
          <w:szCs w:val="20"/>
          <w:lang w:val="en-US" w:eastAsia="zh-CN" w:bidi="ar-SA"/>
        </w:rPr>
      </w:pPr>
      <w:bookmarkStart w:id="2110" w:name="_Toc83905589"/>
      <w:r>
        <w:rPr>
          <w:rFonts w:hint="eastAsia" w:ascii="宋体" w:hAnsi="宋体" w:eastAsia="宋体" w:cs="Times New Roman"/>
          <w:bCs/>
          <w:color w:val="000000" w:themeColor="text1"/>
          <w:kern w:val="0"/>
          <w:sz w:val="21"/>
          <w:szCs w:val="20"/>
          <w:lang w:val="en-US" w:eastAsia="zh-CN" w:bidi="ar-SA"/>
        </w:rPr>
        <w:t>甲方：阳江市妇幼保健院</w:t>
      </w:r>
    </w:p>
    <w:p>
      <w:pPr>
        <w:spacing w:line="360" w:lineRule="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 xml:space="preserve">乙方：                         </w:t>
      </w:r>
    </w:p>
    <w:p>
      <w:pPr>
        <w:spacing w:beforeLines="10" w:afterLines="10" w:line="360" w:lineRule="auto"/>
        <w:ind w:firstLine="420" w:firstLineChars="200"/>
        <w:rPr>
          <w:rFonts w:hint="eastAsia" w:ascii="宋体" w:hAnsi="宋体" w:eastAsia="宋体" w:cs="Times New Roman"/>
          <w:bCs/>
          <w:color w:val="000000" w:themeColor="text1"/>
          <w:kern w:val="0"/>
          <w:sz w:val="21"/>
          <w:szCs w:val="20"/>
          <w:lang w:val="en-US" w:eastAsia="zh-CN" w:bidi="ar-SA"/>
        </w:rPr>
      </w:pPr>
      <w:bookmarkStart w:id="2111" w:name="_Toc369732416"/>
      <w:bookmarkStart w:id="2112" w:name="_Toc369784803"/>
      <w:bookmarkStart w:id="2113" w:name="_Toc369785020"/>
      <w:bookmarkStart w:id="2114" w:name="_Toc369784881"/>
      <w:bookmarkStart w:id="2115" w:name="_Toc369786093"/>
      <w:r>
        <w:rPr>
          <w:rFonts w:hint="eastAsia" w:ascii="宋体" w:hAnsi="宋体" w:eastAsia="宋体" w:cs="Times New Roman"/>
          <w:bCs/>
          <w:color w:val="000000" w:themeColor="text1"/>
          <w:kern w:val="0"/>
          <w:sz w:val="21"/>
          <w:szCs w:val="20"/>
          <w:lang w:val="en-US" w:eastAsia="zh-CN" w:bidi="ar-SA"/>
        </w:rPr>
        <w:t>为规范阳江市妇幼保健院一期特殊科室（手术室、NICU、产房、检验科PCR实验室、妇科门诊手术室）洁净区域运营和管理，，依照《中华人民共和国民法典》及有关法律、法规，遵循平等、自愿、公平和诚实信用的原则，双方就本采购事项协商一致，订立以下合同：</w:t>
      </w:r>
    </w:p>
    <w:bookmarkEnd w:id="2111"/>
    <w:bookmarkEnd w:id="2112"/>
    <w:bookmarkEnd w:id="2113"/>
    <w:bookmarkEnd w:id="2114"/>
    <w:bookmarkEnd w:id="2115"/>
    <w:p>
      <w:pPr>
        <w:numPr>
          <w:ilvl w:val="0"/>
          <w:numId w:val="36"/>
        </w:num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 xml:space="preserve"> 项目的名称、总价、服务范围及负责费用 </w:t>
      </w:r>
    </w:p>
    <w:p>
      <w:pPr>
        <w:pStyle w:val="3"/>
        <w:spacing w:line="360" w:lineRule="auto"/>
        <w:ind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1.项目名称：阳江市妇幼保健院一期特殊科室（手术室、NICU、产房、检验科PCR实验室、妇科门诊手术室）洁净区域维保服务采购项目。</w:t>
      </w:r>
    </w:p>
    <w:p>
      <w:pPr>
        <w:pStyle w:val="3"/>
        <w:spacing w:line="360" w:lineRule="auto"/>
        <w:ind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2.项目服务期限：一年。</w:t>
      </w:r>
    </w:p>
    <w:p>
      <w:pPr>
        <w:pStyle w:val="3"/>
        <w:spacing w:line="360" w:lineRule="auto"/>
        <w:ind w:firstLine="420" w:firstLineChars="200"/>
        <w:rPr>
          <w:rFonts w:hint="default"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3.项目总预算金额：38.25万元。其中，本院现二期建设新产房，待一期产房功能转移到二期新产房之日起，本项目的产房维保服务停止，每季度的维保费需减少支付27625元。</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第二条  服务对象及时间</w:t>
      </w:r>
    </w:p>
    <w:p>
      <w:pPr>
        <w:pStyle w:val="3"/>
        <w:spacing w:line="360" w:lineRule="auto"/>
        <w:ind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1.包括特殊科室洁净区域内的所有建筑设施、配套设备（不包括本院购置的医疗设备维护和不间断电源电池的更换）的故障处理和日常维护。</w:t>
      </w:r>
    </w:p>
    <w:p>
      <w:pPr>
        <w:pStyle w:val="3"/>
        <w:spacing w:line="360" w:lineRule="auto"/>
        <w:ind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2.包括特殊科室洁净区域内的洁净净化机组过滤器更换。</w:t>
      </w:r>
    </w:p>
    <w:p>
      <w:pPr>
        <w:pStyle w:val="3"/>
        <w:spacing w:line="360" w:lineRule="auto"/>
        <w:ind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3.包括正压洁净空气系统机组的空气滤芯、油气分离器、精密过滤芯更换。</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服务时间为12个月。</w:t>
      </w:r>
    </w:p>
    <w:p>
      <w:pPr>
        <w:tabs>
          <w:tab w:val="left" w:pos="1004"/>
        </w:tabs>
        <w:spacing w:line="360" w:lineRule="auto"/>
        <w:ind w:right="31" w:rightChars="15" w:firstLine="420" w:firstLineChars="200"/>
        <w:rPr>
          <w:rFonts w:hint="default"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第三条  维保工作主要内容</w:t>
      </w:r>
    </w:p>
    <w:p>
      <w:pPr>
        <w:ind w:left="239" w:leftChars="114" w:firstLine="210" w:firstLineChars="100"/>
        <w:jc w:val="left"/>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四楼NICU</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1.自动门以及配套设施设备的检査、维护、保养、维修、配件更换和耗材更换。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2.区域内功能房及走廊；含顶、墙、地面、门的检查、维护、保养、维修、配件更换和耗材更换。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3.刷手池含感应水龙头及配套设施的检查、维护、保养、维修、配件更换和耗材更换。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4.医用气体终端；含医用气体管道系统、氧气、空气及负压的检査、维护、保养、维修、配件更换和耗材更换。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5.吊桥和吊塔的检查、维护、保养、维修、配件更换和耗材更换(包含气体终端、电源插座及其线路、电话和网络插座及其线路)。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6.漏电监测保护系统的检査、维护、保养，隔离变压器。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7.电话、网络和门禁、广播系统的检査、维护、保养、维修、配件更换。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8.UPS备用电系统和电池检查、维护、保养，并做好维保记录表。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9.给排水系统管道的检査、维护、保养、维修、配件更换。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10.配套的配电系统(照明、开关、插座、空气开关、漏电保护器等)检査、维护、保养维修、配件更换。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11.净化空调风系统:包括新风空气处理机组(PAU系列)、循环风空气处理机组(AHU系列)、空气处理机组配套的电气控制系统、风机盘管和高静压风机盘管、电极式加湿器的检查、维护、保养、维修、配件更换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12.空调(空气处理机组、风机盘管)的供水及回水管路上的电动水阀、手动水阀、水管温度计、水压表、Y型过滤器的检查、维护、保养、维修、配件更换。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13.独立的供回水设备模块化风冷式冷(热)水机组、低噪音管道压力泵及配套设施设各的检查、维护、保养、维修、配件更换。</w:t>
      </w:r>
    </w:p>
    <w:p>
      <w:pPr>
        <w:numPr>
          <w:ilvl w:val="0"/>
          <w:numId w:val="0"/>
        </w:numPr>
        <w:spacing w:line="360" w:lineRule="auto"/>
        <w:jc w:val="left"/>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 xml:space="preserve">    14.加湿桶更换。</w:t>
      </w:r>
    </w:p>
    <w:p>
      <w:pPr>
        <w:numPr>
          <w:ilvl w:val="0"/>
          <w:numId w:val="0"/>
        </w:numPr>
        <w:spacing w:line="360" w:lineRule="auto"/>
        <w:ind w:firstLine="420" w:firstLineChars="200"/>
        <w:jc w:val="left"/>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二楼检验科PCR实验室(净化部分)、人流手术室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1.检验科(净化部分)、人流手术室;包括自动门以及配套设施设备的检查、维护、保养、维修、配件更换和耗材更换。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2.检验科(净化部分)、人流手术室区域内功能房及走廊:含顶、墙、地面、门的检查、维护、保养、维修、配件更换和耗材更换。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3.检验科(净化部分)、人流手术室刷手池含感应水龙头及配套设施的检查、维护、保养、维修、配件更换和耗材更换。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4.人流手术室医用气体终端；含医用气体管道系统的检查、维护、保养、维修、配件更换和耗材更换。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5.人流手术室的吊桥和吊塔的检查、维护、保养、维修、配件更換和耗材更換(包含气体终端、电源插座及其线路、电话和网络插座及其线路)。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6.检验科(净化部分)、人流手术室漏电监测保护系统的检查、维护、保养。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7.人流手术室二氧化碳及空气汇流的检查、维护、保养。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8.人流手术室的监控系统的检查、维护、保养、维护、配件更換和耗材更换。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9.人流手术室的电话、网络和门禁、广播系统的检查、维护、保养、维护、配件更换。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 xml:space="preserve">    10.人流手术室的呼叫主机和呼叫分机的检查、维护、保养、维修、配件更换。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11.UPS备用电系统和电池检查、维护、保养，做好维护记录表。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12.检验科(净化部分)、人流手术室的给排水系统管道的检查、维护、保养、维修、配件更换。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13.检验科(净化部分)、人流手术室配套的配电系统(开关、插座、空气开关、漏电保护器等)检查、维护、保养、维修、配件更换。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14.检验科(净化部分)、人流手术室净化空调风系统:包括新风空气处理机组(PAU系列）循环风空气处理机组(AHU系列)、空气处理机组配套的电气控制系统、风机盘管和高静压风机盘管、电极式加湿器的检查、维护、保养、维修、配件更換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15.检验科(净化部分)、人流手术室空调(空气处理机组、风机盘管)的供水及回水管路上的电动水阀、手动水阀、水管温度计、水压表、Y型过滤器的检査、维护、保养、维修、配件更换。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16.检验科(净化部分)、人流手术室空气消毒机的检查、维护、保养、维修、配件更换和耗材更换。</w:t>
      </w:r>
    </w:p>
    <w:p>
      <w:pPr>
        <w:ind w:left="239" w:leftChars="114" w:firstLine="210" w:firstLineChars="100"/>
        <w:jc w:val="left"/>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17.加湿桶更换。</w:t>
      </w:r>
    </w:p>
    <w:p>
      <w:pPr>
        <w:ind w:left="239" w:leftChars="114" w:firstLine="210" w:firstLineChars="100"/>
        <w:jc w:val="left"/>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七楼产房</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1.产房：包括自动门以及配套设施设备的检查、维护、保养、维修、配件更换和耗材更换。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2.产房区域内功能房及走廊；含顶、墙、地面、门的检查、维护、保养、维修、配件更换和耗材更换。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3.产房刷手池含感应水龙头及配套设施的检查、维护、保养、维修、配件更换和耗材更换。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4.产房医用气体终端：含医用气体管道系统的检查、维护、保养、维修、配件更换和耗材更换。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5.产房的吊桥和吊塔的检查、维护、保养、维修、配件更换和耗材更换（包含气体终端、电源插座及其线路、电话和网络插座及其线路）。</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6.产房AGSS麻醉废气排放系统（包括管道）排放口的检查、维护、保养、维修、配件更换和耗材更换。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7.产房漏电监测保护系统的检査、维护、保养。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8.产房的监控系统的检查、维护、保养、维修、配件更换和耗材更换。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9.产房的电话、网络和门禁、广播系统的检査、维护、保养、维修、配件更换。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10.产房的呼叫主机和呼叫分机的检查、维护、保养、维修、配件更换。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11.UPS备用电系统和电池检查、维护、保养，并做好维护记录表。</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12.产房的给排水系统管道的检查、维护、保养、维修、配件更换。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13.产房配套的配电系统（照明、开关、插座、空气开关、漏电保护器等）检查、维护、保养、维修、配件更换。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14.产房净化空调风系统：包括新风空气处理机组（PAU系列）、循环风空气处理机组（AHU系列）、空气处理机组配套的电气控制系统、风机盘管和高静压风机盘管、电极式加湿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15.产房空调（空气处理机组、风机盘管）的供水及回水管路上的电动水阀、手动水阀、水管温度计、水压表、Y型过滤器的检查、维护、保养、维修、配件更换。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16.产房独立的供回水设备模块化风冷式冷（热）水机组、低噪音管道压力泵及配套设施设备的检查、维护、保养、维修、配件更换。</w:t>
      </w:r>
    </w:p>
    <w:p>
      <w:pPr>
        <w:numPr>
          <w:ilvl w:val="0"/>
          <w:numId w:val="0"/>
        </w:numPr>
        <w:jc w:val="left"/>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 xml:space="preserve">    17.加湿桶更换。</w:t>
      </w:r>
    </w:p>
    <w:p>
      <w:pPr>
        <w:ind w:left="239" w:leftChars="114" w:firstLine="210" w:firstLineChars="100"/>
        <w:jc w:val="left"/>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十楼手术室</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1.手术室：包括自动门以及配套设施设备的检查、维护、保养、维修、配件更换和耗材更换。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2.手术室区域内功能房及走廊：含顶、墙、地面、门的检查、维护、保养、维修、配件更换和耗材更换。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3.手术室刷手池含感应水龙头及配套设施的检査、维护、保养、维修、配件更换和耗材更换。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4.手术室医用气体终端：含医用气体管道系统的检查、维护、保养、维修、配件更换和耗材更换。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5.手术室的吊桥和吊塔的检査、维护、保养、维修、配件更换和耗材更换（包含气体终端、电源插座及其线路、电话和网络插座及其线路）</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6.手术室AGSS麻醉废气排放系统（包括管道）排放口的检查、维护、保养、维修、配件更换和耗材更换。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7.手术室漏电监测保护系统的检查、维护、保养。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8.手术室二氧化碳及笑气汇流排的检查、维护、保养。</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9.手术室的监控系统的检査、维护、保养、维修、配件更换和耗材更换。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10.手术室的电话、网络和门禁、视频监控及广播系统的检査、维护、保养、维修、配件更换。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11.手术室的呼叫主机和呼叫分机的检查、维护、保养、维修、配件更换。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12.UPS备用电系统和电池检查、维护、保养，做好维护记录表。</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13.手术室的给排水系统管道的检查、维护、保养、维修、配件更换。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14.手术室配套的配电系统（照明、开关、插座、空气开关、漏电保护器等）检查、维护、保养、维修、配件更换。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15.手术室净化空调风系统：包括新风空气处理机组（PAU系列）、循环风空气处理机组（AHU系列）、空气处理机组配套的电气控制系统、风机盘管和高静压风机盘管、电极式加湿器的检查、维护、保养、维修、配件更换和耗材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16.手术室空调（空气处理机组、风机盘管）的供水及回水管路上的电动水阀、手动水阀、水管温度计、水压表、Y型过滤器的检查、维护、保养、维修、配件更换。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17.手术室独立的供回水设备模块化风冷式冷（热）水机组、低噪音管道压力泵及配套设施设备的检查、维护、保养、维修、配件更换。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18.加湿桶更换。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19.水处理系统维护。</w:t>
      </w:r>
    </w:p>
    <w:p>
      <w:pPr>
        <w:pStyle w:val="3"/>
        <w:widowControl w:val="0"/>
        <w:numPr>
          <w:ilvl w:val="0"/>
          <w:numId w:val="0"/>
        </w:numPr>
        <w:spacing w:line="360" w:lineRule="auto"/>
        <w:jc w:val="both"/>
        <w:rPr>
          <w:rFonts w:hint="eastAsia" w:ascii="宋体" w:hAnsi="宋体" w:eastAsia="宋体" w:cs="Times New Roman"/>
          <w:bCs/>
          <w:color w:val="000000" w:themeColor="text1"/>
          <w:kern w:val="0"/>
          <w:sz w:val="21"/>
          <w:szCs w:val="20"/>
          <w:lang w:val="en-US" w:eastAsia="zh-CN" w:bidi="ar-SA"/>
        </w:rPr>
      </w:pPr>
    </w:p>
    <w:p>
      <w:pPr>
        <w:pStyle w:val="3"/>
        <w:widowControl w:val="0"/>
        <w:numPr>
          <w:ilvl w:val="0"/>
          <w:numId w:val="0"/>
        </w:numPr>
        <w:spacing w:line="360" w:lineRule="auto"/>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二、特殊科室洁净净化机组年度更换过滤器工作</w:t>
      </w:r>
    </w:p>
    <w:p>
      <w:pPr>
        <w:pStyle w:val="3"/>
        <w:widowControl w:val="0"/>
        <w:numPr>
          <w:ilvl w:val="0"/>
          <w:numId w:val="0"/>
        </w:numPr>
        <w:spacing w:line="360" w:lineRule="auto"/>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（一）、过滤器产品质量要求：供应商更换的过滤器产品必须要达到国家相关质量监管部门的技术质量标准要求；更换次数按相关要求进行。</w:t>
      </w:r>
    </w:p>
    <w:p>
      <w:pPr>
        <w:pStyle w:val="3"/>
        <w:widowControl w:val="0"/>
        <w:numPr>
          <w:ilvl w:val="0"/>
          <w:numId w:val="0"/>
        </w:numPr>
        <w:spacing w:line="360" w:lineRule="auto"/>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（二）、特殊科室过滤器更换的总数</w:t>
      </w:r>
    </w:p>
    <w:p>
      <w:pPr>
        <w:pStyle w:val="3"/>
        <w:widowControl w:val="0"/>
        <w:numPr>
          <w:ilvl w:val="0"/>
          <w:numId w:val="0"/>
        </w:numPr>
        <w:spacing w:line="360" w:lineRule="auto"/>
        <w:ind w:firstLine="420" w:firstLineChars="200"/>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1、新生儿科：初效16张、中效33张、亚高效4张、高效31张；</w:t>
      </w:r>
    </w:p>
    <w:p>
      <w:pPr>
        <w:pStyle w:val="3"/>
        <w:widowControl w:val="0"/>
        <w:numPr>
          <w:ilvl w:val="0"/>
          <w:numId w:val="0"/>
        </w:numPr>
        <w:spacing w:line="360" w:lineRule="auto"/>
        <w:ind w:firstLine="420" w:firstLineChars="200"/>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2、手术室：初效16张、中效36张、亚高效4张、高效37张；</w:t>
      </w:r>
    </w:p>
    <w:p>
      <w:pPr>
        <w:pStyle w:val="3"/>
        <w:widowControl w:val="0"/>
        <w:numPr>
          <w:ilvl w:val="0"/>
          <w:numId w:val="0"/>
        </w:numPr>
        <w:spacing w:line="360" w:lineRule="auto"/>
        <w:ind w:firstLine="420" w:firstLineChars="200"/>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3、产房：初效20张、中效15张、高效25张；</w:t>
      </w:r>
    </w:p>
    <w:p>
      <w:pPr>
        <w:pStyle w:val="3"/>
        <w:widowControl w:val="0"/>
        <w:numPr>
          <w:ilvl w:val="0"/>
          <w:numId w:val="0"/>
        </w:numPr>
        <w:spacing w:line="360" w:lineRule="auto"/>
        <w:ind w:firstLine="420" w:firstLineChars="200"/>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4、检验科：初效：12张、中效9张、高效18张；</w:t>
      </w:r>
    </w:p>
    <w:p>
      <w:pPr>
        <w:pStyle w:val="3"/>
        <w:widowControl w:val="0"/>
        <w:numPr>
          <w:ilvl w:val="0"/>
          <w:numId w:val="0"/>
        </w:numPr>
        <w:spacing w:line="360" w:lineRule="auto"/>
        <w:ind w:firstLine="420" w:firstLineChars="200"/>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但最终以更换后经使用科室、设备科、供应商三方负责人确认的数量为准。</w:t>
      </w:r>
    </w:p>
    <w:p>
      <w:pPr>
        <w:pStyle w:val="3"/>
        <w:widowControl w:val="0"/>
        <w:numPr>
          <w:ilvl w:val="0"/>
          <w:numId w:val="0"/>
        </w:numPr>
        <w:spacing w:line="360" w:lineRule="auto"/>
        <w:ind w:firstLine="420" w:firstLineChars="200"/>
        <w:jc w:val="both"/>
        <w:rPr>
          <w:rFonts w:hint="default"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（三）、年度过滤器更换完成后，对层流洁净区域进行环境检测，并要保证洁净效果能够达标。</w:t>
      </w:r>
    </w:p>
    <w:p>
      <w:pPr>
        <w:spacing w:line="360" w:lineRule="auto"/>
        <w:rPr>
          <w:rFonts w:hint="default"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（四）、洁净净化机组过滤器更换规格及数量明细</w:t>
      </w:r>
    </w:p>
    <w:tbl>
      <w:tblPr>
        <w:tblStyle w:val="52"/>
        <w:tblW w:w="8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971"/>
        <w:gridCol w:w="3330"/>
        <w:gridCol w:w="990"/>
        <w:gridCol w:w="885"/>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序号</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名称</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规格</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Times New Roman"/>
                <w:bCs/>
                <w:color w:val="000000" w:themeColor="text1"/>
                <w:kern w:val="0"/>
                <w:sz w:val="21"/>
                <w:szCs w:val="20"/>
                <w:lang w:val="en-US" w:eastAsia="zh-CN" w:bidi="ar-SA"/>
              </w:rPr>
            </w:pPr>
            <w:r>
              <w:rPr>
                <w:rFonts w:hint="default" w:ascii="宋体" w:hAnsi="宋体" w:eastAsia="宋体" w:cs="Times New Roman"/>
                <w:bCs/>
                <w:color w:val="000000" w:themeColor="text1"/>
                <w:kern w:val="0"/>
                <w:sz w:val="21"/>
                <w:szCs w:val="20"/>
                <w:lang w:val="en-US" w:eastAsia="zh-CN" w:bidi="ar-SA"/>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595*495*95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595*595*95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595*495*95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6</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7</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295*495*95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8</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9</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495*595*95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10</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初效过滤器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495*295*95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11</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495*595*534*6B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12</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595*595*534*8B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13</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295*595*534*4B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14</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595*295*534*8B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15</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595*595*534*8B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16</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595*295*534*8B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17</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295*595*534*4B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18</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295*295*534*4B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19</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495*595*534*6B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20</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中效过滤器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495*295*534*6B</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21</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592*592*292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22</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287*592*292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23</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287*287*292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24</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490*592*292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25</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亚高效过滤器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490*287*292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26</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GG/AA484*485*150-H13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27</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GG/AA305*305*150-H13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28</w:t>
            </w:r>
          </w:p>
        </w:tc>
        <w:tc>
          <w:tcPr>
            <w:tcW w:w="1971"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高效过滤器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GG/AA305*610*150-H13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bCs/>
                <w:color w:val="000000" w:themeColor="text1"/>
                <w:kern w:val="0"/>
                <w:sz w:val="21"/>
                <w:szCs w:val="20"/>
                <w:lang w:val="en-US" w:eastAsia="zh-CN" w:bidi="ar-SA"/>
              </w:rPr>
            </w:pPr>
          </w:p>
        </w:tc>
      </w:tr>
    </w:tbl>
    <w:p>
      <w:pPr>
        <w:pStyle w:val="3"/>
        <w:numPr>
          <w:ilvl w:val="0"/>
          <w:numId w:val="0"/>
        </w:numPr>
        <w:spacing w:line="360" w:lineRule="auto"/>
        <w:ind w:firstLine="420" w:firstLineChars="200"/>
        <w:rPr>
          <w:rFonts w:hint="eastAsia" w:ascii="宋体" w:hAnsi="宋体" w:eastAsia="宋体" w:cs="宋体"/>
          <w:b/>
          <w:color w:val="000000"/>
          <w:sz w:val="24"/>
          <w:szCs w:val="24"/>
          <w:lang w:val="en-US" w:eastAsia="zh-CN"/>
        </w:rPr>
      </w:pPr>
      <w:r>
        <w:rPr>
          <w:rFonts w:hint="eastAsia" w:ascii="宋体" w:hAnsi="宋体" w:eastAsia="宋体" w:cs="Times New Roman"/>
          <w:bCs/>
          <w:color w:val="000000" w:themeColor="text1"/>
          <w:kern w:val="0"/>
          <w:sz w:val="21"/>
          <w:szCs w:val="20"/>
          <w:lang w:val="en-US" w:eastAsia="zh-CN" w:bidi="ar-SA"/>
        </w:rPr>
        <w:t>第五条 考核评价要求</w:t>
      </w:r>
    </w:p>
    <w:p>
      <w:pPr>
        <w:pStyle w:val="3"/>
        <w:numPr>
          <w:ilvl w:val="0"/>
          <w:numId w:val="0"/>
        </w:numPr>
        <w:spacing w:line="360" w:lineRule="auto"/>
        <w:ind w:firstLine="48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cs="宋体"/>
          <w:b w:val="0"/>
          <w:bCs/>
          <w:color w:val="000000"/>
          <w:sz w:val="24"/>
          <w:szCs w:val="24"/>
          <w:lang w:val="en-US" w:eastAsia="zh-CN"/>
        </w:rPr>
        <w:t>每季度由采购方设备科和特殊科室的各科室护士长，对维保方的维保工作情况进行考核评价，如有一项不合格，每项每次扣维保方500元，年度内如果累计有3次（含3次）不合格，采购方可单方解除合同，并扣除维保方当季度50%服务费。</w:t>
      </w:r>
    </w:p>
    <w:p>
      <w:pPr>
        <w:tabs>
          <w:tab w:val="left" w:pos="1004"/>
          <w:tab w:val="left" w:pos="6315"/>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w:t>
      </w:r>
      <w:r>
        <w:rPr>
          <w:rFonts w:hint="eastAsia" w:ascii="宋体" w:hAnsi="宋体" w:cs="Times New Roman"/>
          <w:bCs/>
          <w:color w:val="000000" w:themeColor="text1"/>
          <w:kern w:val="0"/>
          <w:sz w:val="21"/>
          <w:szCs w:val="20"/>
          <w:lang w:val="en-US" w:eastAsia="zh-CN" w:bidi="ar-SA"/>
        </w:rPr>
        <w:t>六</w:t>
      </w:r>
      <w:r>
        <w:rPr>
          <w:rFonts w:hint="eastAsia" w:ascii="宋体" w:hAnsi="宋体" w:eastAsia="宋体" w:cs="Times New Roman"/>
          <w:bCs/>
          <w:color w:val="000000" w:themeColor="text1"/>
          <w:kern w:val="0"/>
          <w:sz w:val="21"/>
          <w:szCs w:val="20"/>
          <w:lang w:val="en-US" w:eastAsia="zh-CN" w:bidi="ar-SA"/>
        </w:rPr>
        <w:t>条  付款的结算和付款时间</w:t>
      </w:r>
      <w:r>
        <w:rPr>
          <w:rFonts w:hint="eastAsia" w:ascii="宋体" w:hAnsi="宋体" w:eastAsia="宋体" w:cs="Times New Roman"/>
          <w:bCs/>
          <w:color w:val="000000" w:themeColor="text1"/>
          <w:kern w:val="0"/>
          <w:sz w:val="21"/>
          <w:szCs w:val="20"/>
          <w:lang w:val="en-US" w:eastAsia="zh-CN" w:bidi="ar-SA"/>
        </w:rPr>
        <w:tab/>
      </w:r>
    </w:p>
    <w:p>
      <w:pPr>
        <w:tabs>
          <w:tab w:val="left" w:pos="945"/>
        </w:tabs>
        <w:adjustRightInd w:val="0"/>
        <w:snapToGrid w:val="0"/>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 xml:space="preserve">1、付款方式：转账                       </w:t>
      </w:r>
    </w:p>
    <w:p>
      <w:pPr>
        <w:pStyle w:val="3"/>
        <w:widowControl w:val="0"/>
        <w:numPr>
          <w:ilvl w:val="0"/>
          <w:numId w:val="0"/>
        </w:numPr>
        <w:spacing w:line="360" w:lineRule="auto"/>
        <w:ind w:firstLine="420" w:firstLineChars="200"/>
        <w:jc w:val="both"/>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 xml:space="preserve">2、付款时间：分期付款。合同签订之日起，年度分四次平均支付合同款，每季度结束后的30个日历天内支付合同总金额25%。                  </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3、乙方需出具正规国家认可的发票。</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4、遇有经费不足，以实际服务时间标准结算，同时解除合同。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w:t>
      </w:r>
      <w:r>
        <w:rPr>
          <w:rFonts w:hint="eastAsia" w:ascii="宋体" w:hAnsi="宋体" w:cs="Times New Roman"/>
          <w:bCs/>
          <w:color w:val="000000" w:themeColor="text1"/>
          <w:kern w:val="0"/>
          <w:sz w:val="21"/>
          <w:szCs w:val="20"/>
          <w:lang w:val="en-US" w:eastAsia="zh-CN" w:bidi="ar-SA"/>
        </w:rPr>
        <w:t>七</w:t>
      </w:r>
      <w:r>
        <w:rPr>
          <w:rFonts w:hint="eastAsia" w:ascii="宋体" w:hAnsi="宋体" w:eastAsia="宋体" w:cs="Times New Roman"/>
          <w:bCs/>
          <w:color w:val="000000" w:themeColor="text1"/>
          <w:kern w:val="0"/>
          <w:sz w:val="21"/>
          <w:szCs w:val="20"/>
          <w:lang w:val="en-US" w:eastAsia="zh-CN" w:bidi="ar-SA"/>
        </w:rPr>
        <w:t>条  对运营服务异议的时间和办法</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甲方在验收中，如果发现乙方所提供的维保服务质量或相关服务不合规定的，在10个工作日内向乙方提出书面异议乙方需按甲方提出的异议要求进行立即整改。若整改怠沓或不落实，甲方有权提出终止合同。同时，所发生的一切损失及后果由乙方承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w:t>
      </w:r>
      <w:r>
        <w:rPr>
          <w:rFonts w:hint="eastAsia" w:ascii="宋体" w:hAnsi="宋体" w:cs="Times New Roman"/>
          <w:bCs/>
          <w:color w:val="000000" w:themeColor="text1"/>
          <w:kern w:val="0"/>
          <w:sz w:val="21"/>
          <w:szCs w:val="20"/>
          <w:lang w:val="en-US" w:eastAsia="zh-CN" w:bidi="ar-SA"/>
        </w:rPr>
        <w:t>八</w:t>
      </w:r>
      <w:r>
        <w:rPr>
          <w:rFonts w:hint="eastAsia" w:ascii="宋体" w:hAnsi="宋体" w:eastAsia="宋体" w:cs="Times New Roman"/>
          <w:bCs/>
          <w:color w:val="000000" w:themeColor="text1"/>
          <w:kern w:val="0"/>
          <w:sz w:val="21"/>
          <w:szCs w:val="20"/>
          <w:lang w:val="en-US" w:eastAsia="zh-CN" w:bidi="ar-SA"/>
        </w:rPr>
        <w:t>条  乙方的违约责任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乙方所提供的维保服务质量不符合合同规定的，由乙方负责按照原招标文件中标（成交）通知书等实质性内容重新免费提供该项目服务内容。每推迟一天按总价的1%罚款。</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w:t>
      </w:r>
      <w:r>
        <w:rPr>
          <w:rFonts w:hint="eastAsia" w:ascii="宋体" w:hAnsi="宋体" w:cs="Times New Roman"/>
          <w:bCs/>
          <w:color w:val="000000" w:themeColor="text1"/>
          <w:kern w:val="0"/>
          <w:sz w:val="21"/>
          <w:szCs w:val="20"/>
          <w:lang w:val="en-US" w:eastAsia="zh-CN" w:bidi="ar-SA"/>
        </w:rPr>
        <w:t>九</w:t>
      </w:r>
      <w:r>
        <w:rPr>
          <w:rFonts w:hint="eastAsia" w:ascii="宋体" w:hAnsi="宋体" w:eastAsia="宋体" w:cs="Times New Roman"/>
          <w:bCs/>
          <w:color w:val="000000" w:themeColor="text1"/>
          <w:kern w:val="0"/>
          <w:sz w:val="21"/>
          <w:szCs w:val="20"/>
          <w:lang w:val="en-US" w:eastAsia="zh-CN" w:bidi="ar-SA"/>
        </w:rPr>
        <w:t>条</w:t>
      </w:r>
      <w:r>
        <w:rPr>
          <w:rFonts w:hint="eastAsia" w:ascii="宋体" w:hAnsi="宋体" w:eastAsia="宋体" w:cs="Times New Roman"/>
          <w:bCs/>
          <w:color w:val="000000" w:themeColor="text1"/>
          <w:kern w:val="0"/>
          <w:sz w:val="21"/>
          <w:szCs w:val="20"/>
          <w:lang w:val="en-US" w:eastAsia="zh-CN" w:bidi="ar-SA"/>
        </w:rPr>
        <w:tab/>
      </w:r>
      <w:r>
        <w:rPr>
          <w:rFonts w:hint="eastAsia" w:ascii="宋体" w:hAnsi="宋体" w:eastAsia="宋体" w:cs="Times New Roman"/>
          <w:bCs/>
          <w:color w:val="000000" w:themeColor="text1"/>
          <w:kern w:val="0"/>
          <w:sz w:val="21"/>
          <w:szCs w:val="20"/>
          <w:lang w:val="en-US" w:eastAsia="zh-CN" w:bidi="ar-SA"/>
        </w:rPr>
        <w:t xml:space="preserve">  甲方的违约责任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1、甲方逾期付款的，每日应向乙方偿付合同总额的千分之五作为违约金。</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2、甲方违反合同规定拒绝验收的，应当承担由此对乙方造成的损失。</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w:t>
      </w:r>
      <w:r>
        <w:rPr>
          <w:rFonts w:hint="eastAsia" w:ascii="宋体" w:hAnsi="宋体" w:cs="Times New Roman"/>
          <w:bCs/>
          <w:color w:val="000000" w:themeColor="text1"/>
          <w:kern w:val="0"/>
          <w:sz w:val="21"/>
          <w:szCs w:val="20"/>
          <w:lang w:val="en-US" w:eastAsia="zh-CN" w:bidi="ar-SA"/>
        </w:rPr>
        <w:t>十</w:t>
      </w:r>
      <w:r>
        <w:rPr>
          <w:rFonts w:hint="eastAsia" w:ascii="宋体" w:hAnsi="宋体" w:eastAsia="宋体" w:cs="Times New Roman"/>
          <w:bCs/>
          <w:color w:val="000000" w:themeColor="text1"/>
          <w:kern w:val="0"/>
          <w:sz w:val="21"/>
          <w:szCs w:val="20"/>
          <w:lang w:val="en-US" w:eastAsia="zh-CN" w:bidi="ar-SA"/>
        </w:rPr>
        <w:t>条  不可抗力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不可抗力事故是指双方在缔结合同时所不能预见的，并且它的发生及其后果是无法避免和无法克服的事故。受阻一方应在不可抗力事故发生后尽快用电报、传真或电话通知对方，并于事故发生后10个工作日内将有关当局出具的证明文件用专人递交、特快专递或挂号信寄给对方审阅确认。</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第十</w:t>
      </w:r>
      <w:r>
        <w:rPr>
          <w:rFonts w:hint="eastAsia" w:ascii="宋体" w:hAnsi="宋体" w:cs="Times New Roman"/>
          <w:bCs/>
          <w:color w:val="000000" w:themeColor="text1"/>
          <w:kern w:val="0"/>
          <w:sz w:val="21"/>
          <w:szCs w:val="20"/>
          <w:lang w:val="en-US" w:eastAsia="zh-CN" w:bidi="ar-SA"/>
        </w:rPr>
        <w:t>一</w:t>
      </w:r>
      <w:r>
        <w:rPr>
          <w:rFonts w:hint="eastAsia" w:ascii="宋体" w:hAnsi="宋体" w:eastAsia="宋体" w:cs="Times New Roman"/>
          <w:bCs/>
          <w:color w:val="000000" w:themeColor="text1"/>
          <w:kern w:val="0"/>
          <w:sz w:val="21"/>
          <w:szCs w:val="20"/>
          <w:lang w:val="en-US" w:eastAsia="zh-CN" w:bidi="ar-SA"/>
        </w:rPr>
        <w:t>条  争议的解决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1、因服务期间质量问题发生争议，由法律及有关规章规定的技术评估单位进行质量鉴定，双方无条件服从该鉴定的结论。</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2、甲方双方合同期内如有新政策规定的，按规定协商解决执行。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3、合同实施或与合同有关的一切争议应通过双方友好协商解决。如果友好协商不能解决，争议应提交当地仲裁委员会裁决或向人民法院提出诉讼。仲裁费或诉讼费应由败诉方负担。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第十</w:t>
      </w:r>
      <w:r>
        <w:rPr>
          <w:rFonts w:hint="eastAsia" w:ascii="宋体" w:hAnsi="宋体" w:cs="Times New Roman"/>
          <w:bCs/>
          <w:color w:val="000000" w:themeColor="text1"/>
          <w:kern w:val="0"/>
          <w:sz w:val="21"/>
          <w:szCs w:val="20"/>
          <w:lang w:val="en-US" w:eastAsia="zh-CN" w:bidi="ar-SA"/>
        </w:rPr>
        <w:t>二</w:t>
      </w:r>
      <w:r>
        <w:rPr>
          <w:rFonts w:hint="eastAsia" w:ascii="宋体" w:hAnsi="宋体" w:eastAsia="宋体" w:cs="Times New Roman"/>
          <w:bCs/>
          <w:color w:val="000000" w:themeColor="text1"/>
          <w:kern w:val="0"/>
          <w:sz w:val="21"/>
          <w:szCs w:val="20"/>
          <w:lang w:val="en-US" w:eastAsia="zh-CN" w:bidi="ar-SA"/>
        </w:rPr>
        <w:t>条  其它</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1、本合同所有附件均为合同的有效组成部分，与本合同具有同等法律效力。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2、在执行本合同的过程中，所有经双方签署确认的文件（包括会议纪要、补充协议、往来信函）即成为本合同的有效组成部分。</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3、未经甲方同意，在履行合同期间乙方不得转让服务项目。</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4、本合同未尽事宜，由甲乙双方协商解决。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第十</w:t>
      </w:r>
      <w:r>
        <w:rPr>
          <w:rFonts w:hint="eastAsia" w:ascii="宋体" w:hAnsi="宋体" w:cs="Times New Roman"/>
          <w:bCs/>
          <w:color w:val="000000" w:themeColor="text1"/>
          <w:kern w:val="0"/>
          <w:sz w:val="21"/>
          <w:szCs w:val="20"/>
          <w:lang w:val="en-US" w:eastAsia="zh-CN" w:bidi="ar-SA"/>
        </w:rPr>
        <w:t>三</w:t>
      </w:r>
      <w:r>
        <w:rPr>
          <w:rFonts w:hint="eastAsia" w:ascii="宋体" w:hAnsi="宋体" w:eastAsia="宋体" w:cs="Times New Roman"/>
          <w:bCs/>
          <w:color w:val="000000" w:themeColor="text1"/>
          <w:kern w:val="0"/>
          <w:sz w:val="21"/>
          <w:szCs w:val="20"/>
          <w:lang w:val="en-US" w:eastAsia="zh-CN" w:bidi="ar-SA"/>
        </w:rPr>
        <w:t>条  合同生效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1、合同自甲乙双方法定代表人或其授权代表签字并盖单位公章之日起生效。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rPr>
      </w:pPr>
      <w:r>
        <w:rPr>
          <w:rFonts w:hint="eastAsia" w:ascii="宋体" w:hAnsi="宋体" w:eastAsia="宋体" w:cs="Times New Roman"/>
          <w:bCs/>
          <w:color w:val="000000" w:themeColor="text1"/>
          <w:kern w:val="0"/>
          <w:sz w:val="21"/>
          <w:szCs w:val="20"/>
          <w:lang w:val="en-US" w:eastAsia="zh-CN" w:bidi="ar-SA"/>
        </w:rPr>
        <w:t>2、本合同壹式叁份，其中甲、乙双方各执壹份，采购代理机构壹份。</w:t>
      </w:r>
    </w:p>
    <w:p>
      <w:pPr>
        <w:pStyle w:val="4"/>
        <w:numPr>
          <w:ilvl w:val="0"/>
          <w:numId w:val="0"/>
        </w:numPr>
        <w:ind w:leftChars="0"/>
        <w:jc w:val="both"/>
      </w:pPr>
    </w:p>
    <w:p/>
    <w:p>
      <w:pPr>
        <w:pStyle w:val="2"/>
        <w:numPr>
          <w:ilvl w:val="0"/>
          <w:numId w:val="0"/>
        </w:numPr>
        <w:ind w:leftChars="0"/>
      </w:pPr>
    </w:p>
    <w:p>
      <w:pPr>
        <w:spacing w:line="360" w:lineRule="auto"/>
        <w:ind w:right="315" w:rightChars="150"/>
        <w:rPr>
          <w:rFonts w:ascii="宋体" w:hAnsi="宋体" w:cs="宋体"/>
          <w:bCs/>
          <w:sz w:val="24"/>
          <w:szCs w:val="24"/>
        </w:rPr>
      </w:pPr>
      <w:r>
        <w:rPr>
          <w:rFonts w:hint="eastAsia" w:ascii="宋体" w:hAnsi="宋体" w:cs="宋体"/>
          <w:bCs/>
          <w:sz w:val="24"/>
          <w:szCs w:val="24"/>
        </w:rPr>
        <w:t>甲方（盖章）：                乙方（盖章）：</w:t>
      </w:r>
    </w:p>
    <w:p>
      <w:pPr>
        <w:spacing w:line="360" w:lineRule="auto"/>
        <w:ind w:right="315" w:rightChars="150"/>
        <w:rPr>
          <w:rFonts w:ascii="宋体" w:hAnsi="宋体" w:cs="宋体"/>
          <w:bCs/>
          <w:sz w:val="24"/>
          <w:szCs w:val="24"/>
        </w:rPr>
      </w:pPr>
      <w:r>
        <w:rPr>
          <w:rFonts w:hint="eastAsia" w:ascii="宋体" w:hAnsi="宋体" w:cs="宋体"/>
          <w:bCs/>
          <w:sz w:val="24"/>
          <w:szCs w:val="24"/>
        </w:rPr>
        <w:t xml:space="preserve">法定代表人或其授权委托人：   法定代表人或其授权委托人： </w:t>
      </w:r>
    </w:p>
    <w:p>
      <w:pPr>
        <w:pStyle w:val="4"/>
        <w:numPr>
          <w:ilvl w:val="0"/>
          <w:numId w:val="0"/>
        </w:numPr>
        <w:spacing w:beforeLines="0"/>
        <w:jc w:val="both"/>
        <w:rPr>
          <w:rFonts w:hint="eastAsia" w:ascii="宋体" w:hAnsi="宋体" w:cs="宋体"/>
          <w:bCs/>
          <w:sz w:val="24"/>
          <w:szCs w:val="24"/>
        </w:rPr>
      </w:pPr>
      <w:r>
        <w:rPr>
          <w:rFonts w:hint="eastAsia" w:ascii="宋体" w:hAnsi="宋体" w:cs="宋体"/>
          <w:bCs/>
          <w:sz w:val="24"/>
          <w:szCs w:val="24"/>
        </w:rPr>
        <w:t xml:space="preserve">签定日期：   年  月   日     签定日期：  年   月   日    </w:t>
      </w:r>
    </w:p>
    <w:p>
      <w:pPr>
        <w:pStyle w:val="4"/>
        <w:numPr>
          <w:ilvl w:val="0"/>
          <w:numId w:val="0"/>
        </w:numPr>
        <w:spacing w:beforeLines="0"/>
        <w:rPr>
          <w:rFonts w:hint="eastAsia" w:ascii="宋体" w:hAnsi="宋体" w:cs="宋体"/>
          <w:bCs/>
          <w:sz w:val="24"/>
          <w:szCs w:val="24"/>
        </w:rPr>
      </w:pPr>
    </w:p>
    <w:p>
      <w:pPr>
        <w:pStyle w:val="4"/>
        <w:numPr>
          <w:ilvl w:val="0"/>
          <w:numId w:val="0"/>
        </w:numPr>
        <w:spacing w:beforeLines="0"/>
        <w:rPr>
          <w:rFonts w:hint="eastAsia" w:ascii="宋体" w:hAnsi="宋体" w:cs="宋体"/>
          <w:bCs/>
          <w:sz w:val="24"/>
          <w:szCs w:val="24"/>
        </w:rPr>
      </w:pPr>
    </w:p>
    <w:p>
      <w:pPr>
        <w:pStyle w:val="4"/>
        <w:numPr>
          <w:ilvl w:val="0"/>
          <w:numId w:val="0"/>
        </w:numPr>
        <w:spacing w:beforeLines="0"/>
        <w:rPr>
          <w:rFonts w:hint="eastAsia" w:ascii="宋体" w:hAnsi="宋体" w:cs="宋体"/>
          <w:bCs/>
          <w:sz w:val="24"/>
          <w:szCs w:val="24"/>
        </w:rPr>
      </w:pPr>
    </w:p>
    <w:p>
      <w:pPr>
        <w:pStyle w:val="4"/>
        <w:numPr>
          <w:ilvl w:val="0"/>
          <w:numId w:val="0"/>
        </w:numPr>
        <w:spacing w:beforeLines="0"/>
        <w:rPr>
          <w:rFonts w:hint="eastAsia" w:ascii="宋体" w:hAnsi="宋体" w:cs="宋体"/>
          <w:bCs/>
          <w:sz w:val="24"/>
          <w:szCs w:val="24"/>
        </w:rPr>
      </w:pPr>
    </w:p>
    <w:p>
      <w:pPr>
        <w:pStyle w:val="4"/>
        <w:numPr>
          <w:ilvl w:val="0"/>
          <w:numId w:val="0"/>
        </w:numPr>
        <w:spacing w:beforeLines="0"/>
        <w:rPr>
          <w:rFonts w:hint="eastAsia" w:ascii="宋体" w:hAnsi="宋体" w:cs="宋体"/>
          <w:bCs/>
          <w:sz w:val="24"/>
          <w:szCs w:val="24"/>
        </w:rPr>
      </w:pPr>
    </w:p>
    <w:p>
      <w:pPr>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3"/>
        <w:rPr>
          <w:rFonts w:hint="eastAsia" w:ascii="宋体" w:hAnsi="宋体" w:cs="宋体"/>
          <w:bCs/>
          <w:sz w:val="24"/>
          <w:szCs w:val="24"/>
        </w:rPr>
      </w:pPr>
    </w:p>
    <w:p>
      <w:pPr>
        <w:pStyle w:val="4"/>
        <w:numPr>
          <w:ilvl w:val="0"/>
          <w:numId w:val="0"/>
        </w:numPr>
        <w:spacing w:beforeLines="0"/>
        <w:rPr>
          <w:rFonts w:ascii="宋体" w:hAnsi="宋体" w:eastAsia="宋体"/>
          <w:b/>
          <w:color w:val="000000" w:themeColor="text1"/>
        </w:rPr>
      </w:pPr>
      <w:r>
        <w:rPr>
          <w:rFonts w:hint="eastAsia" w:ascii="宋体" w:hAnsi="宋体" w:eastAsia="宋体"/>
          <w:b/>
          <w:color w:val="000000" w:themeColor="text1"/>
        </w:rPr>
        <w:t>第五部分</w:t>
      </w:r>
      <w:bookmarkStart w:id="2116" w:name="_Hlt97188172"/>
      <w:bookmarkEnd w:id="2116"/>
      <w:r>
        <w:rPr>
          <w:rFonts w:hint="eastAsia" w:ascii="宋体" w:hAnsi="宋体" w:eastAsia="宋体"/>
          <w:b/>
          <w:color w:val="000000" w:themeColor="text1"/>
        </w:rPr>
        <w:t xml:space="preserve"> </w:t>
      </w:r>
      <w:r>
        <w:rPr>
          <w:rFonts w:ascii="宋体" w:hAnsi="宋体" w:eastAsia="宋体"/>
          <w:b/>
          <w:color w:val="000000" w:themeColor="text1"/>
        </w:rPr>
        <w:t xml:space="preserve"> </w:t>
      </w:r>
      <w:r>
        <w:rPr>
          <w:rFonts w:hint="eastAsia" w:ascii="宋体" w:hAnsi="宋体" w:eastAsia="宋体"/>
          <w:b/>
          <w:color w:val="000000" w:themeColor="text1"/>
        </w:rPr>
        <w:t>投标文件格式</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Start w:id="2117" w:name="_Hlt21938933"/>
      <w:bookmarkEnd w:id="2117"/>
    </w:p>
    <w:p>
      <w:pPr>
        <w:rPr>
          <w:rFonts w:ascii="宋体" w:hAnsi="宋体"/>
          <w:color w:val="000000" w:themeColor="text1"/>
        </w:rPr>
      </w:pPr>
    </w:p>
    <w:p>
      <w:pPr>
        <w:pStyle w:val="5"/>
        <w:numPr>
          <w:ilvl w:val="1"/>
          <w:numId w:val="0"/>
        </w:numPr>
        <w:rPr>
          <w:rFonts w:ascii="宋体" w:hAnsi="宋体"/>
          <w:color w:val="000000" w:themeColor="text1"/>
          <w:sz w:val="24"/>
        </w:rPr>
      </w:pPr>
      <w:bookmarkStart w:id="2118" w:name="_Toc330459996"/>
      <w:bookmarkStart w:id="2119" w:name="_Toc339020244"/>
      <w:bookmarkStart w:id="2120" w:name="_Toc336681946"/>
      <w:bookmarkStart w:id="2121" w:name="_Toc365967083"/>
      <w:bookmarkStart w:id="2122" w:name="_Toc333935357"/>
      <w:bookmarkStart w:id="2123" w:name="_Toc345513912"/>
      <w:bookmarkStart w:id="2124" w:name="_Toc83905590"/>
      <w:bookmarkStart w:id="2125" w:name="_Toc350756461"/>
      <w:bookmarkStart w:id="2126" w:name="_Toc349127637"/>
      <w:bookmarkStart w:id="2127" w:name="_Toc365985189"/>
      <w:bookmarkStart w:id="2128" w:name="_Toc342060385"/>
      <w:bookmarkStart w:id="2129" w:name="_Toc331684049"/>
      <w:bookmarkStart w:id="2130" w:name="_Toc339020106"/>
      <w:bookmarkStart w:id="2131" w:name="_Toc340677081"/>
      <w:bookmarkStart w:id="2132" w:name="_Toc333237688"/>
      <w:bookmarkStart w:id="2133" w:name="_Toc366072540"/>
      <w:bookmarkStart w:id="2134" w:name="_Toc337632369"/>
      <w:bookmarkStart w:id="2135" w:name="_Toc332270357"/>
      <w:bookmarkStart w:id="2136" w:name="_Toc332206719"/>
      <w:bookmarkStart w:id="2137" w:name="_Toc339441098"/>
      <w:bookmarkStart w:id="2138" w:name="_Toc342296771"/>
      <w:bookmarkStart w:id="2139" w:name="_Toc341348349"/>
      <w:bookmarkStart w:id="2140" w:name="_Toc349143600"/>
      <w:bookmarkStart w:id="2141" w:name="_Toc339020026"/>
      <w:bookmarkStart w:id="2142" w:name="_Toc333237799"/>
      <w:bookmarkStart w:id="2143" w:name="_Toc336681591"/>
      <w:bookmarkStart w:id="2144" w:name="_Toc339362311"/>
      <w:bookmarkStart w:id="2145" w:name="_Toc340672880"/>
      <w:bookmarkStart w:id="2146" w:name="_Toc350438760"/>
      <w:bookmarkStart w:id="2147" w:name="_Toc333935698"/>
      <w:bookmarkStart w:id="2148" w:name="_Toc333238644"/>
      <w:bookmarkStart w:id="2149" w:name="_Toc331512909"/>
      <w:bookmarkStart w:id="2150" w:name="_Toc339019900"/>
      <w:bookmarkStart w:id="2151" w:name="_Toc340507453"/>
      <w:r>
        <w:rPr>
          <w:rFonts w:hint="eastAsia" w:ascii="宋体" w:hAnsi="宋体"/>
          <w:color w:val="000000" w:themeColor="text1"/>
          <w:sz w:val="24"/>
        </w:rPr>
        <w:t>封面格式</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p>
      <w:pPr>
        <w:pStyle w:val="8"/>
        <w:rPr>
          <w:rFonts w:hAnsi="宋体"/>
          <w:bCs/>
          <w:color w:val="000000" w:themeColor="text1"/>
          <w:sz w:val="21"/>
        </w:rPr>
      </w:pPr>
    </w:p>
    <w:p>
      <w:pPr>
        <w:pStyle w:val="8"/>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8"/>
        <w:spacing w:line="360" w:lineRule="auto"/>
        <w:rPr>
          <w:rFonts w:hAnsi="宋体"/>
          <w:b/>
          <w:color w:val="000000" w:themeColor="text1"/>
          <w:sz w:val="21"/>
          <w:szCs w:val="21"/>
        </w:rPr>
      </w:pPr>
      <w:r>
        <w:rPr>
          <w:rFonts w:hint="eastAsia" w:hAnsi="宋体"/>
          <w:bCs/>
          <w:color w:val="000000" w:themeColor="text1"/>
          <w:sz w:val="21"/>
        </w:rPr>
        <w:t>2、文件的封面格式由投标人自拟，并应注明“投标文件、项目编号、项目名称、投标人名称及地址、法定代表人（负责人）或授权代理人、联系电话、传真、邮编，并加盖投标人公章。如：</w:t>
      </w:r>
      <w:r>
        <w:rPr>
          <w:rFonts w:hint="eastAsia" w:hAnsi="宋体"/>
          <w:b/>
          <w:color w:val="000000" w:themeColor="text1"/>
          <w:sz w:val="21"/>
          <w:szCs w:val="21"/>
        </w:rPr>
        <w:t xml:space="preserve"> </w:t>
      </w:r>
    </w:p>
    <w:p>
      <w:pPr>
        <w:pStyle w:val="8"/>
        <w:rPr>
          <w:rFonts w:hAnsi="宋体"/>
          <w:bCs/>
          <w:color w:val="000000" w:themeColor="text1"/>
          <w:sz w:val="21"/>
        </w:rPr>
      </w:pPr>
    </w:p>
    <w:p>
      <w:pPr>
        <w:pStyle w:val="8"/>
        <w:rPr>
          <w:rFonts w:hAnsi="宋体"/>
          <w:bCs/>
          <w:color w:val="000000" w:themeColor="text1"/>
          <w:sz w:val="21"/>
        </w:rPr>
      </w:pPr>
    </w:p>
    <w:p>
      <w:pPr>
        <w:pStyle w:val="8"/>
        <w:rPr>
          <w:rFonts w:hAnsi="宋体"/>
          <w:bCs/>
          <w:color w:val="000000" w:themeColor="text1"/>
          <w:sz w:val="21"/>
        </w:rPr>
      </w:pPr>
    </w:p>
    <w:p>
      <w:pPr>
        <w:tabs>
          <w:tab w:val="left" w:pos="1004"/>
          <w:tab w:val="left" w:pos="4267"/>
        </w:tabs>
        <w:spacing w:line="400" w:lineRule="exact"/>
        <w:rPr>
          <w:rFonts w:ascii="宋体" w:hAnsi="宋体"/>
          <w:bCs/>
          <w:color w:val="000000" w:themeColor="text1"/>
        </w:rPr>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left="0" w:leftChars="0" w:firstLine="0" w:firstLineChars="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8"/>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8"/>
        <w:spacing w:line="360" w:lineRule="auto"/>
        <w:jc w:val="center"/>
        <w:rPr>
          <w:rFonts w:hAnsi="宋体"/>
          <w:bCs/>
          <w:color w:val="000000"/>
          <w:sz w:val="52"/>
          <w:szCs w:val="52"/>
        </w:rPr>
      </w:pPr>
      <w:r>
        <w:rPr>
          <w:rFonts w:hint="eastAsia" w:hAnsi="宋体"/>
          <w:b/>
          <w:color w:val="000000"/>
          <w:sz w:val="44"/>
          <w:szCs w:val="44"/>
        </w:rPr>
        <w:t>（资格审查文件）</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440" w:lineRule="exact"/>
        <w:jc w:val="center"/>
        <w:rPr>
          <w:rFonts w:hAnsi="宋体"/>
          <w:bCs/>
          <w:color w:val="000000"/>
          <w:sz w:val="21"/>
          <w:szCs w:val="21"/>
        </w:rPr>
      </w:pPr>
      <w:r>
        <w:rPr>
          <w:rFonts w:hint="eastAsia" w:hAnsi="宋体"/>
          <w:bCs/>
          <w:color w:val="000000"/>
          <w:sz w:val="21"/>
          <w:szCs w:val="21"/>
        </w:rPr>
        <w:t xml:space="preserve"> </w:t>
      </w:r>
    </w:p>
    <w:p>
      <w:pPr>
        <w:pStyle w:val="8"/>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u w:val="single"/>
          <w:lang w:eastAsia="zh-CN"/>
        </w:rPr>
        <w:t>YJFY20250717</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ascii="宋体" w:hAnsi="宋体" w:eastAsia="宋体" w:cs="Times New Roman"/>
          <w:bCs/>
          <w:color w:val="000000"/>
          <w:sz w:val="21"/>
          <w:szCs w:val="21"/>
          <w:u w:val="single"/>
          <w:lang w:eastAsia="zh-CN"/>
        </w:rPr>
        <w:t xml:space="preserve">阳江市妇幼保健院一期特殊科室（手术室、NICU、产房、检验科PCR实验室、妇科门诊手术室）洁净区域维保服务采购项目 </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8"/>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spacing w:line="400" w:lineRule="exact"/>
        <w:rPr>
          <w:rFonts w:ascii="宋体" w:hAnsi="宋体"/>
          <w:bCs/>
          <w:color w:val="000000"/>
        </w:rPr>
      </w:pPr>
      <w:r>
        <w:rPr>
          <w:rFonts w:hint="eastAsia" w:ascii="宋体" w:hAnsi="宋体"/>
          <w:bCs/>
          <w:color w:val="000000"/>
        </w:rPr>
        <w:t xml:space="preserve"> </w:t>
      </w:r>
    </w:p>
    <w:p>
      <w:pPr>
        <w:pStyle w:val="61"/>
        <w:ind w:firstLine="400"/>
      </w:pPr>
    </w:p>
    <w:p>
      <w:pPr>
        <w:tabs>
          <w:tab w:val="left" w:pos="1004"/>
          <w:tab w:val="left" w:pos="4267"/>
        </w:tabs>
        <w:spacing w:line="400" w:lineRule="exact"/>
        <w:rPr>
          <w:rFonts w:ascii="宋体" w:hAnsi="宋体"/>
          <w:bCs/>
          <w:color w:val="000000" w:themeColor="text1"/>
        </w:rPr>
        <w:sectPr>
          <w:footerReference r:id="rId10" w:type="first"/>
          <w:footerReference r:id="rId9"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rPr>
        <w:t xml:space="preserve"> </w:t>
      </w:r>
    </w:p>
    <w:bookmarkEnd w:id="1635"/>
    <w:bookmarkEnd w:id="1636"/>
    <w:bookmarkEnd w:id="1637"/>
    <w:bookmarkEnd w:id="1638"/>
    <w:bookmarkEnd w:id="1639"/>
    <w:p>
      <w:pPr>
        <w:pStyle w:val="5"/>
        <w:numPr>
          <w:ilvl w:val="7"/>
          <w:numId w:val="37"/>
        </w:numPr>
        <w:spacing w:before="240" w:after="240" w:line="240" w:lineRule="exact"/>
        <w:ind w:left="0" w:firstLine="0"/>
        <w:rPr>
          <w:color w:val="000000"/>
          <w:sz w:val="24"/>
          <w:szCs w:val="24"/>
        </w:rPr>
      </w:pPr>
      <w:bookmarkStart w:id="2152" w:name="_Toc13569"/>
      <w:bookmarkStart w:id="2153" w:name="_Toc20173"/>
      <w:bookmarkStart w:id="2154" w:name="_Toc1260"/>
      <w:bookmarkStart w:id="2155" w:name="_Toc408126476"/>
      <w:bookmarkStart w:id="2156" w:name="_Toc12110"/>
      <w:bookmarkStart w:id="2157" w:name="_Toc12398"/>
      <w:bookmarkStart w:id="2158" w:name="_Toc269"/>
      <w:bookmarkStart w:id="2159" w:name="_Toc11138"/>
      <w:bookmarkStart w:id="2160" w:name="_Toc83905591"/>
      <w:bookmarkStart w:id="2161" w:name="_Toc528"/>
      <w:bookmarkStart w:id="2162" w:name="_Toc200414515"/>
      <w:bookmarkStart w:id="2163" w:name="_Toc469160785"/>
      <w:r>
        <w:rPr>
          <w:rFonts w:hint="eastAsia"/>
          <w:color w:val="000000"/>
          <w:sz w:val="24"/>
          <w:szCs w:val="24"/>
        </w:rPr>
        <w:t>资格审查</w:t>
      </w:r>
      <w:bookmarkEnd w:id="2152"/>
      <w:bookmarkEnd w:id="2153"/>
      <w:bookmarkEnd w:id="2154"/>
      <w:bookmarkEnd w:id="2155"/>
      <w:bookmarkEnd w:id="2156"/>
      <w:bookmarkEnd w:id="2157"/>
      <w:bookmarkEnd w:id="2158"/>
      <w:bookmarkEnd w:id="2159"/>
      <w:r>
        <w:rPr>
          <w:rFonts w:hint="eastAsia"/>
          <w:color w:val="000000"/>
          <w:sz w:val="24"/>
          <w:szCs w:val="24"/>
        </w:rPr>
        <w:t>文件</w:t>
      </w:r>
      <w:bookmarkEnd w:id="2160"/>
      <w:bookmarkEnd w:id="2161"/>
    </w:p>
    <w:p>
      <w:pPr>
        <w:pStyle w:val="8"/>
        <w:ind w:firstLine="0"/>
        <w:jc w:val="center"/>
        <w:rPr>
          <w:rFonts w:ascii="黑体" w:hAnsi="黑体" w:eastAsia="黑体"/>
          <w:sz w:val="24"/>
        </w:rPr>
      </w:pPr>
      <w:r>
        <w:rPr>
          <w:rFonts w:hint="eastAsia" w:hAnsi="Cambria"/>
          <w:b/>
          <w:color w:val="000000"/>
          <w:kern w:val="2"/>
          <w:sz w:val="32"/>
          <w:szCs w:val="21"/>
        </w:rPr>
        <w:t>资格审查表</w:t>
      </w:r>
    </w:p>
    <w:p>
      <w:pPr>
        <w:tabs>
          <w:tab w:val="center" w:pos="4483"/>
        </w:tabs>
        <w:ind w:leftChars="-100" w:hanging="210" w:hangingChars="100"/>
        <w:rPr>
          <w:rFonts w:ascii="宋体" w:hAnsi="宋体"/>
          <w:color w:val="000000"/>
          <w:szCs w:val="21"/>
        </w:rPr>
      </w:pPr>
    </w:p>
    <w:p>
      <w:pPr>
        <w:tabs>
          <w:tab w:val="center" w:pos="4483"/>
        </w:tabs>
        <w:ind w:firstLine="105" w:firstLineChars="50"/>
        <w:rPr>
          <w:rFonts w:ascii="宋体" w:hAnsi="宋体"/>
          <w:bCs/>
          <w:color w:val="000000"/>
          <w:szCs w:val="21"/>
        </w:rPr>
      </w:pPr>
      <w:r>
        <w:rPr>
          <w:rFonts w:hint="eastAsia" w:ascii="宋体" w:hAnsi="宋体"/>
          <w:bCs/>
          <w:color w:val="000000"/>
          <w:szCs w:val="21"/>
        </w:rPr>
        <w:t>项目编号：</w:t>
      </w:r>
      <w:r>
        <w:rPr>
          <w:rFonts w:hint="eastAsia" w:ascii="宋体" w:hAnsi="宋体"/>
          <w:bCs/>
          <w:color w:val="000000"/>
          <w:szCs w:val="21"/>
          <w:u w:val="single"/>
          <w:lang w:eastAsia="zh-CN"/>
        </w:rPr>
        <w:t>YJFY20250717</w:t>
      </w:r>
      <w:r>
        <w:rPr>
          <w:rFonts w:hint="eastAsia" w:ascii="宋体" w:hAnsi="宋体"/>
          <w:bCs/>
          <w:color w:val="000000"/>
          <w:szCs w:val="21"/>
        </w:rPr>
        <w:t xml:space="preserve">                 </w:t>
      </w:r>
    </w:p>
    <w:tbl>
      <w:tblPr>
        <w:tblStyle w:val="52"/>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2693"/>
        <w:gridCol w:w="179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tcBorders>
              <w:top w:val="single" w:color="auto" w:sz="4" w:space="0"/>
              <w:left w:val="single" w:color="auto" w:sz="4" w:space="0"/>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Cs/>
                <w:color w:val="000000"/>
                <w:szCs w:val="21"/>
              </w:rPr>
              <w:t>项目名称：</w:t>
            </w:r>
            <w:r>
              <w:rPr>
                <w:rFonts w:hint="eastAsia" w:hAnsi="宋体"/>
                <w:bCs/>
                <w:color w:val="000000"/>
                <w:u w:val="single"/>
                <w:lang w:eastAsia="zh-CN"/>
              </w:rPr>
              <w:t>阳江市妇幼保健院一期特殊科室（手术室、NICU、产房、检验科PCR实验室、妇科门诊手术室）洁净区域维保服务采购项目</w:t>
            </w:r>
            <w:r>
              <w:rPr>
                <w:rFonts w:hint="eastAsia" w:ascii="宋体" w:hAnsi="宋体"/>
                <w:b/>
                <w:bCs/>
                <w:color w:val="000000"/>
              </w:rPr>
              <w:t>评审内容</w:t>
            </w:r>
          </w:p>
        </w:tc>
        <w:tc>
          <w:tcPr>
            <w:tcW w:w="2693"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招标文件要求</w:t>
            </w:r>
          </w:p>
        </w:tc>
        <w:tc>
          <w:tcPr>
            <w:tcW w:w="1795"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自查结论</w:t>
            </w:r>
          </w:p>
          <w:p>
            <w:pPr>
              <w:ind w:left="480" w:hanging="480"/>
              <w:jc w:val="center"/>
              <w:rPr>
                <w:rFonts w:ascii="宋体" w:hAnsi="宋体"/>
                <w:bCs/>
                <w:color w:val="000000"/>
                <w:szCs w:val="21"/>
              </w:rPr>
            </w:pPr>
            <w:r>
              <w:rPr>
                <w:rFonts w:hint="eastAsia" w:ascii="宋体" w:hAnsi="宋体"/>
                <w:bCs/>
                <w:color w:val="000000"/>
              </w:rPr>
              <w:t>（通过/不通过）</w:t>
            </w:r>
          </w:p>
        </w:tc>
        <w:tc>
          <w:tcPr>
            <w:tcW w:w="2484"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1276" w:type="dxa"/>
            <w:vMerge w:val="restart"/>
            <w:tcBorders>
              <w:top w:val="nil"/>
              <w:left w:val="single" w:color="auto" w:sz="4" w:space="0"/>
              <w:bottom w:val="single" w:color="auto" w:sz="4" w:space="0"/>
              <w:right w:val="single" w:color="auto" w:sz="4" w:space="0"/>
            </w:tcBorders>
            <w:vAlign w:val="center"/>
          </w:tcPr>
          <w:p>
            <w:pPr>
              <w:ind w:left="480" w:hanging="480"/>
              <w:rPr>
                <w:rFonts w:ascii="宋体" w:hAnsi="宋体"/>
                <w:b/>
                <w:bCs/>
                <w:color w:val="000000"/>
                <w:szCs w:val="21"/>
              </w:rPr>
            </w:pPr>
            <w:r>
              <w:rPr>
                <w:rFonts w:hint="eastAsia" w:ascii="宋体" w:hAnsi="宋体"/>
                <w:color w:val="000000"/>
              </w:rPr>
              <w:t>资格性检查</w:t>
            </w:r>
          </w:p>
        </w:tc>
        <w:tc>
          <w:tcPr>
            <w:tcW w:w="1843" w:type="dxa"/>
            <w:vMerge w:val="restart"/>
            <w:tcBorders>
              <w:top w:val="nil"/>
              <w:left w:val="nil"/>
              <w:right w:val="single" w:color="auto" w:sz="4" w:space="0"/>
            </w:tcBorders>
            <w:vAlign w:val="center"/>
          </w:tcPr>
          <w:p>
            <w:pPr>
              <w:ind w:left="146"/>
              <w:rPr>
                <w:rFonts w:ascii="宋体" w:hAnsi="宋体"/>
                <w:color w:val="000000"/>
                <w:szCs w:val="21"/>
              </w:rPr>
            </w:pPr>
            <w:r>
              <w:rPr>
                <w:rFonts w:hint="eastAsia" w:ascii="宋体" w:hAnsi="宋体"/>
                <w:color w:val="000000"/>
              </w:rPr>
              <w:t>投标人资格要求</w:t>
            </w: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投标人应具备《中华人民共和国政府采购法》第二十二条规定的条件。</w:t>
            </w:r>
          </w:p>
          <w:p>
            <w:pPr>
              <w:rPr>
                <w:rFonts w:ascii="宋体" w:hAnsi="宋体"/>
                <w:b/>
                <w:bCs/>
                <w:color w:val="000000"/>
                <w:szCs w:val="21"/>
              </w:rPr>
            </w:pP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rPr>
              <w:t>见投标文件</w:t>
            </w:r>
          </w:p>
          <w:p>
            <w:pPr>
              <w:jc w:val="center"/>
              <w:rPr>
                <w:rFonts w:ascii="宋体" w:hAnsi="宋体"/>
                <w:b/>
                <w:color w:val="000000"/>
              </w:rPr>
            </w:pPr>
            <w:r>
              <w:rPr>
                <w:rFonts w:hint="eastAsia" w:ascii="宋体" w:hAnsi="宋体"/>
                <w:b/>
                <w:color w:val="000000"/>
              </w:rPr>
              <w:t>第（  ）页</w:t>
            </w:r>
          </w:p>
          <w:p>
            <w:pPr>
              <w:jc w:val="center"/>
              <w:rPr>
                <w:rFonts w:ascii="宋体" w:hAnsi="宋体"/>
                <w:b/>
                <w:bCs/>
                <w:color w:val="000000"/>
                <w:szCs w:val="21"/>
              </w:rPr>
            </w:pPr>
            <w:r>
              <w:rPr>
                <w:rFonts w:hint="eastAsia" w:ascii="宋体" w:hAnsi="宋体"/>
                <w:color w:val="000000"/>
              </w:rPr>
              <w:t>要求：提交合法有效的营业执照复印件加盖公章、</w:t>
            </w:r>
            <w:r>
              <w:rPr>
                <w:rFonts w:hint="eastAsia" w:ascii="宋体" w:hAnsi="宋体"/>
                <w:color w:val="000000"/>
                <w:kern w:val="0"/>
              </w:rPr>
              <w:t>财务报表</w:t>
            </w:r>
            <w:r>
              <w:rPr>
                <w:rFonts w:hint="eastAsia" w:ascii="宋体" w:hAnsi="宋体"/>
                <w:color w:val="000000"/>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themeColor="text1"/>
                <w:szCs w:val="21"/>
              </w:rPr>
              <w:t>中华人民共和国境内合法注册,能独立承担民事责任的法人、其他组织或自然人，并具有相关经营范围和能力。</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szCs w:val="21"/>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pacing w:val="-6"/>
                <w:szCs w:val="21"/>
              </w:rPr>
            </w:pPr>
            <w:r>
              <w:rPr>
                <w:rFonts w:hint="eastAsia" w:ascii="宋体" w:hAnsi="宋体"/>
                <w:szCs w:val="21"/>
              </w:rPr>
              <w:t>单位负责人为同一人或者存在直接控股、管理关系的不同供应商，不得参加同一合同项下的政府采购活动。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为采购项目提供整体设计、规范编制或者项目管理、监理、检测等服务的投标人，不得再参加该采购项目（包组）的其他采购活动。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投标人须提供投标截止时间前6个月内任意1个月依法缴纳税收和社会保障资金的相关证明材料复印件并加盖投标人公章，如依法免税或不需要缴纳社会保障资金的提供相应证明材料并加盖投标人公章。</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投标人未被列入“信用中国”网站</w:t>
            </w:r>
          </w:p>
          <w:p>
            <w:pPr>
              <w:rPr>
                <w:rFonts w:ascii="宋体" w:hAnsi="宋体"/>
                <w:szCs w:val="21"/>
              </w:rPr>
            </w:pPr>
            <w:r>
              <w:rPr>
                <w:rFonts w:hint="eastAsia" w:ascii="宋体" w:hAnsi="宋体"/>
                <w:szCs w:val="21"/>
              </w:rPr>
              <w:t>(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bottom w:val="single" w:color="auto" w:sz="4" w:space="0"/>
              <w:right w:val="single" w:color="auto" w:sz="4" w:space="0"/>
            </w:tcBorders>
            <w:vAlign w:val="center"/>
          </w:tcPr>
          <w:p>
            <w:pPr>
              <w:ind w:left="146"/>
              <w:rPr>
                <w:rFonts w:ascii="宋体" w:hAnsi="宋体"/>
                <w:b/>
                <w:bCs/>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b/>
                <w:bCs/>
                <w:color w:val="000000"/>
                <w:szCs w:val="21"/>
              </w:rPr>
            </w:pPr>
            <w:r>
              <w:rPr>
                <w:rFonts w:hint="eastAsia" w:ascii="宋体" w:hAnsi="宋体"/>
                <w:color w:val="000000"/>
              </w:rPr>
              <w:t>本项目不接受联合体投标。</w:t>
            </w:r>
          </w:p>
        </w:tc>
        <w:tc>
          <w:tcPr>
            <w:tcW w:w="1795" w:type="dxa"/>
            <w:tcBorders>
              <w:top w:val="single" w:color="auto" w:sz="4" w:space="0"/>
              <w:left w:val="nil"/>
              <w:bottom w:val="single" w:color="auto" w:sz="4" w:space="0"/>
              <w:right w:val="single" w:color="auto" w:sz="4" w:space="0"/>
            </w:tcBorders>
            <w:vAlign w:val="center"/>
          </w:tcPr>
          <w:p>
            <w:pPr>
              <w:ind w:left="-107" w:leftChars="-51" w:firstLine="106"/>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b/>
                <w:bCs/>
                <w:color w:val="000000"/>
                <w:szCs w:val="21"/>
              </w:rPr>
            </w:pPr>
            <w:r>
              <w:rPr>
                <w:rFonts w:hint="eastAsia" w:ascii="宋体" w:hAnsi="宋体"/>
                <w:color w:val="000000"/>
              </w:rPr>
              <w:t>第（  ）页</w:t>
            </w:r>
          </w:p>
        </w:tc>
      </w:tr>
    </w:tbl>
    <w:p>
      <w:pPr>
        <w:ind w:left="315" w:leftChars="50" w:hanging="210" w:hangingChars="100"/>
        <w:rPr>
          <w:rFonts w:ascii="宋体" w:hAnsi="宋体"/>
          <w:color w:val="000000"/>
          <w:szCs w:val="21"/>
        </w:rPr>
      </w:pPr>
      <w:r>
        <w:rPr>
          <w:rFonts w:hint="eastAsia" w:ascii="宋体" w:hAnsi="宋体"/>
          <w:color w:val="000000"/>
        </w:rPr>
        <w:t xml:space="preserve"> </w:t>
      </w:r>
    </w:p>
    <w:p>
      <w:pPr>
        <w:ind w:left="525" w:leftChars="50" w:hanging="420" w:hangingChars="200"/>
        <w:rPr>
          <w:rFonts w:ascii="宋体" w:hAnsi="宋体"/>
          <w:color w:val="000000"/>
        </w:rPr>
      </w:pPr>
      <w:r>
        <w:rPr>
          <w:rFonts w:hint="eastAsia" w:ascii="宋体" w:hAnsi="宋体"/>
          <w:color w:val="000000"/>
        </w:rPr>
        <w:t>注：以上材料将作为投标人资格性审核的重要内容之一，投标人必须严格按照其内容及序列要求在投标文件中对应如实提供，对缺漏和不符合项或</w:t>
      </w:r>
      <w:r>
        <w:rPr>
          <w:rFonts w:hint="eastAsia" w:ascii="宋体" w:hAnsi="宋体"/>
          <w:bCs/>
          <w:color w:val="000000"/>
        </w:rPr>
        <w:t>提交的资料字迹模糊不清而现场无法提供原件核实的</w:t>
      </w:r>
      <w:r>
        <w:rPr>
          <w:rFonts w:hint="eastAsia" w:ascii="宋体" w:hAnsi="宋体"/>
          <w:color w:val="000000"/>
        </w:rPr>
        <w:t>将会直接导致无效投标。</w:t>
      </w:r>
      <w:r>
        <w:rPr>
          <w:rFonts w:hint="eastAsia" w:ascii="宋体" w:hAnsi="宋体"/>
          <w:bCs/>
          <w:color w:val="000000"/>
        </w:rPr>
        <w:t>不能继续参与后续评标，有效投标人少于3家的将导致废标。废标后，除采购任务取消情形外，应当重新组织采购。</w:t>
      </w:r>
      <w:r>
        <w:rPr>
          <w:rFonts w:hint="eastAsia" w:ascii="宋体" w:hAnsi="宋体"/>
          <w:color w:val="000000"/>
        </w:rPr>
        <w:t>在对应的自查结论中填“通过”或“不通过”。</w:t>
      </w:r>
    </w:p>
    <w:p>
      <w:pPr>
        <w:ind w:left="525" w:leftChars="50" w:hanging="420" w:hangingChars="200"/>
        <w:rPr>
          <w:rFonts w:ascii="宋体" w:hAnsi="宋体"/>
          <w:bCs/>
          <w:color w:val="000000"/>
        </w:rPr>
      </w:pPr>
      <w:r>
        <w:rPr>
          <w:rFonts w:hint="eastAsia" w:ascii="宋体" w:hAnsi="宋体"/>
          <w:bCs/>
          <w:color w:val="000000"/>
        </w:rPr>
        <w:t xml:space="preserve">    </w:t>
      </w:r>
    </w:p>
    <w:p>
      <w:pPr>
        <w:adjustRightInd w:val="0"/>
        <w:snapToGrid w:val="0"/>
        <w:spacing w:line="300" w:lineRule="auto"/>
        <w:rPr>
          <w:color w:val="000000"/>
        </w:rPr>
      </w:pPr>
      <w:r>
        <w:rPr>
          <w:color w:val="000000"/>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61"/>
        <w:ind w:firstLine="0" w:firstLineChars="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5"/>
        <w:numPr>
          <w:ilvl w:val="0"/>
          <w:numId w:val="0"/>
        </w:numPr>
        <w:rPr>
          <w:color w:val="000000"/>
        </w:rPr>
      </w:pPr>
      <w:bookmarkStart w:id="2164" w:name="_Toc83905592"/>
      <w:bookmarkStart w:id="2165" w:name="_Toc15457"/>
      <w:bookmarkStart w:id="2166" w:name="_Toc8938"/>
      <w:r>
        <w:rPr>
          <w:rFonts w:hint="eastAsia" w:hAnsi="黑体"/>
          <w:b w:val="0"/>
          <w:color w:val="000000"/>
        </w:rPr>
        <w:t>（一）资格审查文件要求提交的有效证明文件</w:t>
      </w:r>
      <w:bookmarkEnd w:id="2164"/>
    </w:p>
    <w:p>
      <w:pPr>
        <w:adjustRightInd w:val="0"/>
        <w:snapToGrid w:val="0"/>
        <w:spacing w:line="360" w:lineRule="auto"/>
        <w:jc w:val="left"/>
        <w:rPr>
          <w:rFonts w:ascii="宋体" w:hAnsi="宋体"/>
          <w:b/>
          <w:bCs/>
          <w:caps/>
          <w:color w:val="000000"/>
        </w:rPr>
      </w:pPr>
      <w:r>
        <w:rPr>
          <w:rFonts w:hint="eastAsia" w:ascii="宋体" w:hAnsi="宋体"/>
          <w:bCs/>
          <w:color w:val="000000"/>
        </w:rPr>
        <w:t>项目编号:</w:t>
      </w:r>
      <w:r>
        <w:rPr>
          <w:rFonts w:hint="eastAsia" w:ascii="宋体" w:hAnsi="宋体"/>
          <w:b/>
          <w:bCs/>
          <w:color w:val="000000"/>
          <w:u w:val="single"/>
        </w:rPr>
        <w:t xml:space="preserve"> </w:t>
      </w:r>
      <w:r>
        <w:rPr>
          <w:rFonts w:hint="eastAsia" w:ascii="宋体" w:hAnsi="宋体"/>
          <w:bCs/>
          <w:color w:val="000000"/>
          <w:u w:val="single"/>
        </w:rPr>
        <w:t xml:space="preserve">   </w:t>
      </w:r>
      <w:r>
        <w:rPr>
          <w:rFonts w:hint="eastAsia" w:ascii="宋体" w:hAnsi="宋体"/>
          <w:bCs/>
          <w:color w:val="000000"/>
          <w:u w:val="single"/>
          <w:lang w:eastAsia="zh-CN"/>
        </w:rPr>
        <w:t>YJFY20250717</w:t>
      </w:r>
      <w:r>
        <w:rPr>
          <w:rFonts w:hint="eastAsia" w:ascii="宋体" w:hAnsi="宋体"/>
          <w:bCs/>
          <w:color w:val="000000"/>
          <w:u w:val="single"/>
        </w:rPr>
        <w:t xml:space="preserve">                    </w:t>
      </w:r>
      <w:r>
        <w:rPr>
          <w:rFonts w:hint="eastAsia" w:ascii="宋体" w:hAnsi="宋体"/>
          <w:b/>
          <w:bCs/>
          <w:caps/>
          <w:color w:val="000000"/>
          <w:u w:val="single"/>
        </w:rPr>
        <w:t xml:space="preserve"> </w:t>
      </w:r>
      <w:r>
        <w:rPr>
          <w:rFonts w:hint="eastAsia" w:ascii="宋体" w:hAnsi="宋体"/>
          <w:b/>
          <w:bCs/>
          <w:caps/>
          <w:color w:val="000000"/>
        </w:rPr>
        <w:t xml:space="preserve">   </w:t>
      </w:r>
    </w:p>
    <w:p>
      <w:pPr>
        <w:adjustRightInd w:val="0"/>
        <w:snapToGrid w:val="0"/>
        <w:spacing w:line="360" w:lineRule="auto"/>
        <w:ind w:left="1050" w:hanging="1050" w:hangingChars="500"/>
        <w:jc w:val="left"/>
        <w:rPr>
          <w:rFonts w:ascii="宋体" w:hAnsi="宋体"/>
          <w:bCs/>
          <w:color w:val="000000"/>
          <w:u w:val="single"/>
        </w:rPr>
      </w:pPr>
      <w:r>
        <w:rPr>
          <w:rFonts w:hint="eastAsia" w:ascii="宋体" w:hAnsi="宋体"/>
          <w:bCs/>
          <w:color w:val="000000"/>
        </w:rPr>
        <w:t>项目名称：</w:t>
      </w:r>
      <w:r>
        <w:rPr>
          <w:rFonts w:hint="eastAsia"/>
          <w:color w:val="000000"/>
          <w:u w:val="single"/>
        </w:rPr>
        <w:t xml:space="preserve">  </w:t>
      </w:r>
      <w:r>
        <w:rPr>
          <w:rFonts w:hint="eastAsia" w:ascii="宋体" w:hAnsi="宋体" w:eastAsia="宋体" w:cs="Times New Roman"/>
          <w:bCs/>
          <w:color w:val="000000"/>
          <w:sz w:val="21"/>
          <w:szCs w:val="21"/>
          <w:u w:val="single"/>
          <w:lang w:eastAsia="zh-CN"/>
        </w:rPr>
        <w:t>阳江市妇幼保健院一期特殊科室（手术室、NICU、产房、检验科PCR实验室、妇科门诊手术室）洁净区域维保服务采购项目</w:t>
      </w:r>
      <w:r>
        <w:rPr>
          <w:rFonts w:hint="eastAsia"/>
          <w:color w:val="000000"/>
          <w:u w:val="single"/>
        </w:rPr>
        <w:t xml:space="preserve"> </w:t>
      </w:r>
    </w:p>
    <w:p>
      <w:pPr>
        <w:pStyle w:val="8"/>
        <w:rPr>
          <w:color w:val="000000"/>
        </w:rPr>
      </w:pPr>
      <w:r>
        <w:rPr>
          <w:rFonts w:hint="eastAsia"/>
          <w:color w:val="000000"/>
        </w:rPr>
        <w:t xml:space="preserve"> </w:t>
      </w:r>
    </w:p>
    <w:p>
      <w:pPr>
        <w:spacing w:line="440" w:lineRule="exact"/>
        <w:ind w:firstLine="420" w:firstLineChars="200"/>
        <w:rPr>
          <w:rFonts w:ascii="宋体" w:hAnsi="宋体"/>
          <w:color w:val="000000"/>
        </w:rPr>
      </w:pPr>
      <w:r>
        <w:rPr>
          <w:rFonts w:hint="eastAsia" w:ascii="宋体" w:hAnsi="宋体"/>
          <w:color w:val="000000"/>
        </w:rPr>
        <w:t>1、合法有效的营业执照复印件加盖公章；</w:t>
      </w:r>
    </w:p>
    <w:p>
      <w:pPr>
        <w:spacing w:line="440" w:lineRule="exact"/>
        <w:ind w:firstLine="420" w:firstLineChars="200"/>
        <w:rPr>
          <w:rFonts w:ascii="宋体" w:hAnsi="宋体"/>
          <w:color w:val="000000"/>
        </w:rPr>
      </w:pPr>
      <w:r>
        <w:rPr>
          <w:rFonts w:hint="eastAsia" w:ascii="宋体" w:hAnsi="宋体"/>
          <w:color w:val="000000"/>
        </w:rPr>
        <w:t>2、</w:t>
      </w:r>
      <w:r>
        <w:rPr>
          <w:rFonts w:hint="eastAsia" w:ascii="宋体" w:hAnsi="宋体"/>
          <w:color w:val="000000"/>
          <w:kern w:val="0"/>
        </w:rPr>
        <w:t>财务报表</w:t>
      </w:r>
      <w:r>
        <w:rPr>
          <w:rFonts w:hint="eastAsia" w:ascii="宋体" w:hAnsi="宋体"/>
          <w:color w:val="000000"/>
        </w:rPr>
        <w:t>复印件加盖公章；</w:t>
      </w:r>
    </w:p>
    <w:p>
      <w:pPr>
        <w:spacing w:line="440" w:lineRule="exact"/>
        <w:ind w:firstLine="420" w:firstLineChars="200"/>
        <w:rPr>
          <w:rFonts w:ascii="宋体" w:hAnsi="宋体"/>
          <w:color w:val="000000"/>
        </w:rPr>
      </w:pPr>
      <w:r>
        <w:rPr>
          <w:rFonts w:hint="eastAsia" w:ascii="宋体" w:hAnsi="宋体"/>
          <w:color w:val="000000"/>
        </w:rPr>
        <w:t>3、缴税证明复印件加盖公章；</w:t>
      </w:r>
    </w:p>
    <w:p>
      <w:pPr>
        <w:spacing w:line="440" w:lineRule="exact"/>
        <w:ind w:firstLine="420" w:firstLineChars="200"/>
        <w:rPr>
          <w:rFonts w:ascii="宋体" w:hAnsi="宋体"/>
          <w:color w:val="000000"/>
        </w:rPr>
      </w:pPr>
      <w:r>
        <w:rPr>
          <w:rFonts w:hint="eastAsia" w:ascii="宋体" w:hAnsi="宋体"/>
          <w:color w:val="000000"/>
        </w:rPr>
        <w:t>4、社会保险证明复印件加盖公章；</w:t>
      </w:r>
    </w:p>
    <w:p>
      <w:pPr>
        <w:spacing w:line="440" w:lineRule="exact"/>
        <w:ind w:firstLine="420" w:firstLineChars="200"/>
        <w:rPr>
          <w:rFonts w:ascii="宋体" w:hAnsi="宋体"/>
          <w:color w:val="000000"/>
        </w:rPr>
      </w:pPr>
      <w:r>
        <w:rPr>
          <w:rFonts w:hint="eastAsia" w:ascii="宋体" w:hAnsi="宋体"/>
          <w:color w:val="000000"/>
        </w:rPr>
        <w:t>5、无重大违法记录声明函；</w:t>
      </w:r>
    </w:p>
    <w:p>
      <w:pPr>
        <w:spacing w:line="440" w:lineRule="exact"/>
        <w:ind w:firstLine="420" w:firstLineChars="200"/>
        <w:rPr>
          <w:rFonts w:ascii="宋体" w:hAnsi="宋体"/>
          <w:color w:val="000000"/>
        </w:rPr>
      </w:pPr>
      <w:r>
        <w:rPr>
          <w:rFonts w:hint="eastAsia" w:ascii="宋体" w:hAnsi="宋体"/>
          <w:color w:val="000000"/>
        </w:rPr>
        <w:t>6、相关证明文件：</w:t>
      </w:r>
    </w:p>
    <w:p>
      <w:pPr>
        <w:spacing w:line="440" w:lineRule="exact"/>
        <w:ind w:firstLine="420" w:firstLineChars="200"/>
        <w:rPr>
          <w:rFonts w:ascii="宋体" w:hAnsi="宋体"/>
          <w:color w:val="000000"/>
        </w:rPr>
      </w:pPr>
      <w:r>
        <w:rPr>
          <w:rFonts w:hint="eastAsia" w:ascii="宋体" w:hAnsi="宋体"/>
          <w:color w:val="000000"/>
        </w:rPr>
        <w:t>7、………</w:t>
      </w:r>
    </w:p>
    <w:p>
      <w:pPr>
        <w:pStyle w:val="8"/>
        <w:rPr>
          <w:rFonts w:hAnsi="宋体"/>
          <w:bCs/>
          <w:color w:val="000000"/>
          <w:sz w:val="21"/>
          <w:szCs w:val="21"/>
        </w:rPr>
      </w:pPr>
      <w:r>
        <w:rPr>
          <w:rFonts w:hint="eastAsia" w:hAnsi="宋体"/>
          <w:bCs/>
          <w:color w:val="000000"/>
          <w:sz w:val="21"/>
          <w:szCs w:val="21"/>
        </w:rPr>
        <w:t xml:space="preserve"> </w:t>
      </w:r>
    </w:p>
    <w:p>
      <w:pPr>
        <w:pStyle w:val="8"/>
        <w:rPr>
          <w:rFonts w:hAnsi="宋体"/>
          <w:bCs/>
          <w:color w:val="000000"/>
          <w:sz w:val="21"/>
          <w:szCs w:val="21"/>
        </w:rPr>
      </w:pPr>
      <w:r>
        <w:rPr>
          <w:rFonts w:hint="eastAsia" w:hAnsi="宋体"/>
          <w:bCs/>
          <w:color w:val="000000"/>
          <w:sz w:val="21"/>
          <w:szCs w:val="21"/>
        </w:rPr>
        <w:t xml:space="preserve"> </w:t>
      </w:r>
    </w:p>
    <w:p>
      <w:pPr>
        <w:pStyle w:val="8"/>
        <w:rPr>
          <w:rFonts w:hAnsi="宋体"/>
          <w:bCs/>
          <w:color w:val="000000"/>
          <w:sz w:val="21"/>
          <w:szCs w:val="21"/>
        </w:rPr>
      </w:pPr>
      <w:r>
        <w:rPr>
          <w:rFonts w:hint="eastAsia" w:hAnsi="宋体"/>
          <w:bCs/>
          <w:color w:val="000000"/>
          <w:sz w:val="21"/>
          <w:szCs w:val="21"/>
        </w:rPr>
        <w:t xml:space="preserve"> </w:t>
      </w:r>
    </w:p>
    <w:p>
      <w:pPr>
        <w:pStyle w:val="8"/>
        <w:rPr>
          <w:rFonts w:hAnsi="宋体"/>
          <w:bCs/>
          <w:color w:val="000000"/>
          <w:sz w:val="21"/>
          <w:szCs w:val="21"/>
        </w:rPr>
      </w:pPr>
      <w:r>
        <w:rPr>
          <w:rFonts w:hint="eastAsia" w:hAnsi="宋体"/>
          <w:bCs/>
          <w:color w:val="000000"/>
          <w:sz w:val="21"/>
          <w:szCs w:val="21"/>
        </w:rPr>
        <w:t xml:space="preserve"> </w:t>
      </w:r>
    </w:p>
    <w:p>
      <w:pPr>
        <w:pStyle w:val="8"/>
        <w:rPr>
          <w:rFonts w:hAnsi="宋体"/>
          <w:color w:val="000000"/>
          <w:sz w:val="21"/>
          <w:szCs w:val="21"/>
        </w:rPr>
      </w:pPr>
      <w:r>
        <w:rPr>
          <w:rFonts w:hint="eastAsia" w:hAnsi="宋体"/>
          <w:bCs/>
          <w:color w:val="000000"/>
          <w:sz w:val="21"/>
          <w:szCs w:val="21"/>
        </w:rPr>
        <w:t>提供招标文件要求的资格</w:t>
      </w:r>
      <w:r>
        <w:rPr>
          <w:rFonts w:hint="eastAsia" w:hAnsi="宋体"/>
          <w:color w:val="000000"/>
          <w:sz w:val="21"/>
          <w:szCs w:val="21"/>
        </w:rPr>
        <w:t>证明文件复印件加盖公章。</w:t>
      </w:r>
    </w:p>
    <w:p>
      <w:pPr>
        <w:pStyle w:val="5"/>
        <w:keepLines w:val="0"/>
        <w:numPr>
          <w:ilvl w:val="0"/>
          <w:numId w:val="0"/>
        </w:numPr>
        <w:tabs>
          <w:tab w:val="left" w:pos="4320"/>
        </w:tabs>
        <w:spacing w:before="240" w:after="60" w:line="360" w:lineRule="exact"/>
        <w:jc w:val="both"/>
        <w:rPr>
          <w:rFonts w:ascii="宋体"/>
          <w:bCs w:val="0"/>
          <w:color w:val="000000"/>
          <w:szCs w:val="21"/>
        </w:rPr>
      </w:pPr>
    </w:p>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5"/>
        <w:keepLines w:val="0"/>
        <w:numPr>
          <w:ilvl w:val="0"/>
          <w:numId w:val="0"/>
        </w:numPr>
        <w:tabs>
          <w:tab w:val="left" w:pos="4320"/>
        </w:tabs>
        <w:spacing w:before="240" w:after="60" w:line="360" w:lineRule="exact"/>
        <w:rPr>
          <w:rFonts w:ascii="宋体"/>
          <w:bCs w:val="0"/>
          <w:color w:val="000000"/>
          <w:szCs w:val="21"/>
        </w:rPr>
      </w:pPr>
    </w:p>
    <w:p/>
    <w:p>
      <w:pPr>
        <w:pStyle w:val="5"/>
        <w:keepLines w:val="0"/>
        <w:numPr>
          <w:ilvl w:val="0"/>
          <w:numId w:val="0"/>
        </w:numPr>
        <w:tabs>
          <w:tab w:val="left" w:pos="4320"/>
        </w:tabs>
        <w:spacing w:before="240" w:after="60" w:line="360" w:lineRule="exact"/>
        <w:rPr>
          <w:rFonts w:ascii="宋体"/>
          <w:bCs w:val="0"/>
          <w:color w:val="000000"/>
          <w:szCs w:val="21"/>
        </w:rPr>
      </w:pPr>
    </w:p>
    <w:p>
      <w:pPr>
        <w:pStyle w:val="5"/>
        <w:numPr>
          <w:ilvl w:val="0"/>
          <w:numId w:val="0"/>
        </w:numPr>
        <w:jc w:val="both"/>
        <w:rPr>
          <w:rFonts w:hAnsi="黑体"/>
          <w:b w:val="0"/>
          <w:color w:val="000000"/>
        </w:rPr>
      </w:pPr>
    </w:p>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5"/>
        <w:numPr>
          <w:ilvl w:val="0"/>
          <w:numId w:val="0"/>
        </w:numPr>
        <w:rPr>
          <w:rFonts w:hAnsi="黑体"/>
          <w:color w:val="000000"/>
        </w:rPr>
      </w:pPr>
      <w:bookmarkStart w:id="2167" w:name="_Toc83905593"/>
      <w:r>
        <w:rPr>
          <w:rFonts w:hint="eastAsia" w:hAnsi="黑体"/>
          <w:b w:val="0"/>
          <w:color w:val="000000"/>
        </w:rPr>
        <w:t>（二）无重大违法记录声明函</w:t>
      </w:r>
      <w:bookmarkEnd w:id="2167"/>
    </w:p>
    <w:p>
      <w:pPr>
        <w:pStyle w:val="8"/>
        <w:spacing w:line="360" w:lineRule="auto"/>
        <w:ind w:left="420" w:firstLine="0"/>
        <w:rPr>
          <w:color w:val="000000"/>
        </w:rPr>
      </w:pPr>
      <w:r>
        <w:rPr>
          <w:rFonts w:hint="eastAsia"/>
          <w:color w:val="000000"/>
        </w:rPr>
        <w:t xml:space="preserve"> </w:t>
      </w:r>
    </w:p>
    <w:p>
      <w:pPr>
        <w:spacing w:line="360" w:lineRule="auto"/>
        <w:rPr>
          <w:color w:val="000000"/>
        </w:rPr>
      </w:pPr>
      <w:r>
        <w:rPr>
          <w:rFonts w:hint="eastAsia" w:ascii="宋体" w:hAnsi="宋体"/>
          <w:color w:val="000000"/>
        </w:rPr>
        <w:t>致</w:t>
      </w:r>
      <w:r>
        <w:rPr>
          <w:rFonts w:ascii="Arial" w:hAnsi="Arial" w:cs="Arial"/>
          <w:color w:val="000000"/>
          <w:szCs w:val="21"/>
          <w:shd w:val="clear" w:color="auto" w:fill="FFFFFF"/>
        </w:rPr>
        <w:t>阳江市投源招标采购有限公司</w:t>
      </w:r>
      <w:r>
        <w:rPr>
          <w:rFonts w:hint="eastAsia" w:ascii="宋体" w:hAnsi="宋体"/>
          <w:color w:val="000000"/>
        </w:rPr>
        <w:t>：</w:t>
      </w:r>
    </w:p>
    <w:p>
      <w:pPr>
        <w:spacing w:line="360" w:lineRule="auto"/>
        <w:rPr>
          <w:rFonts w:ascii="宋体" w:hAnsi="宋体"/>
          <w:bCs/>
          <w:color w:val="000000"/>
          <w:u w:val="single"/>
        </w:rPr>
      </w:pPr>
      <w:r>
        <w:rPr>
          <w:rFonts w:hint="eastAsia"/>
          <w:color w:val="000000"/>
        </w:rPr>
        <w:t xml:space="preserve">    </w:t>
      </w:r>
      <w:r>
        <w:rPr>
          <w:rFonts w:hint="eastAsia" w:ascii="宋体" w:hAnsi="宋体"/>
          <w:color w:val="000000"/>
        </w:rPr>
        <w:t>针对贵方组织的（项目名称：</w:t>
      </w:r>
      <w:r>
        <w:rPr>
          <w:rFonts w:hint="eastAsia"/>
          <w:color w:val="000000"/>
          <w:u w:val="single"/>
        </w:rPr>
        <w:t xml:space="preserve">                         </w:t>
      </w:r>
      <w:r>
        <w:rPr>
          <w:rFonts w:hint="eastAsia" w:ascii="宋体" w:hAnsi="宋体"/>
          <w:color w:val="000000"/>
        </w:rPr>
        <w:t>）（项目编号：</w:t>
      </w:r>
      <w:r>
        <w:rPr>
          <w:rFonts w:hint="eastAsia" w:ascii="宋体" w:hAnsi="宋体"/>
          <w:bCs/>
          <w:color w:val="000000"/>
          <w:u w:val="single"/>
        </w:rPr>
        <w:t xml:space="preserve">            </w:t>
      </w:r>
      <w:r>
        <w:rPr>
          <w:rFonts w:hint="eastAsia" w:ascii="宋体" w:hAnsi="宋体"/>
          <w:color w:val="000000"/>
        </w:rPr>
        <w:t>），我方郑重承诺：</w:t>
      </w:r>
    </w:p>
    <w:p>
      <w:pPr>
        <w:spacing w:line="360" w:lineRule="auto"/>
        <w:rPr>
          <w:color w:val="000000"/>
        </w:rPr>
      </w:pPr>
      <w:r>
        <w:rPr>
          <w:rFonts w:hint="eastAsia"/>
          <w:color w:val="000000"/>
        </w:rPr>
        <w:t xml:space="preserve">    </w:t>
      </w:r>
      <w:r>
        <w:rPr>
          <w:rFonts w:hint="eastAsia" w:ascii="宋体" w:hAnsi="宋体"/>
          <w:color w:val="000000"/>
        </w:rPr>
        <w:t>参加本次政府采购活动前三年内，在经营活动中没有重大违法记录。</w:t>
      </w:r>
    </w:p>
    <w:p>
      <w:pPr>
        <w:spacing w:line="360" w:lineRule="auto"/>
        <w:rPr>
          <w:color w:val="000000"/>
        </w:rPr>
      </w:pPr>
      <w:r>
        <w:rPr>
          <w:rFonts w:hint="eastAsia"/>
          <w:color w:val="000000"/>
        </w:rPr>
        <w:t xml:space="preserve">    </w:t>
      </w:r>
      <w:r>
        <w:rPr>
          <w:rFonts w:hint="eastAsia" w:ascii="宋体" w:hAnsi="宋体"/>
          <w:color w:val="000000"/>
        </w:rPr>
        <w:t>本公司对上述声明的真实性负责。如有虚假，将依法承担相关责任。</w:t>
      </w:r>
    </w:p>
    <w:p>
      <w:pPr>
        <w:spacing w:line="360" w:lineRule="auto"/>
        <w:rPr>
          <w:color w:val="000000"/>
        </w:rPr>
      </w:pPr>
      <w:r>
        <w:rPr>
          <w:rFonts w:hint="eastAsia"/>
          <w:color w:val="000000"/>
        </w:rPr>
        <w:t xml:space="preserve">    </w:t>
      </w:r>
      <w:r>
        <w:rPr>
          <w:rFonts w:hint="eastAsia" w:ascii="宋体" w:hAnsi="宋体"/>
          <w:color w:val="000000"/>
        </w:rPr>
        <w:t>特此声明。</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rPr>
          <w:color w:val="000000"/>
        </w:rPr>
      </w:pPr>
      <w:r>
        <w:rPr>
          <w:rFonts w:hint="eastAsia" w:ascii="宋体" w:hAnsi="宋体"/>
          <w:color w:val="000000"/>
        </w:rPr>
        <w:t>投标人法定代表人（负责人）或授权代理人（签字）：</w:t>
      </w:r>
      <w:r>
        <w:rPr>
          <w:rFonts w:hint="eastAsia"/>
          <w:color w:val="000000"/>
          <w:u w:val="single"/>
        </w:rPr>
        <w:t xml:space="preserve">          </w:t>
      </w:r>
    </w:p>
    <w:p>
      <w:pPr>
        <w:spacing w:line="360" w:lineRule="auto"/>
        <w:rPr>
          <w:color w:val="000000"/>
          <w:u w:val="single"/>
        </w:rPr>
      </w:pPr>
      <w:r>
        <w:rPr>
          <w:rFonts w:hint="eastAsia" w:ascii="宋体" w:hAnsi="宋体"/>
          <w:color w:val="000000"/>
        </w:rPr>
        <w:t>投标人名称（公章）：</w:t>
      </w:r>
      <w:r>
        <w:rPr>
          <w:rFonts w:hint="eastAsia"/>
          <w:color w:val="000000"/>
          <w:u w:val="single"/>
        </w:rPr>
        <w:t xml:space="preserve">                        </w:t>
      </w:r>
    </w:p>
    <w:p>
      <w:pPr>
        <w:spacing w:line="360" w:lineRule="auto"/>
        <w:rPr>
          <w:rFonts w:ascii="宋体" w:hAnsi="宋体"/>
          <w:bCs/>
          <w:color w:val="000000"/>
        </w:rPr>
      </w:pPr>
      <w:r>
        <w:rPr>
          <w:rFonts w:hint="eastAsia" w:ascii="宋体" w:hAnsi="宋体"/>
          <w:bCs/>
          <w:color w:val="000000"/>
        </w:rPr>
        <w:t>日期：</w:t>
      </w:r>
      <w:r>
        <w:rPr>
          <w:rFonts w:hint="eastAsia" w:ascii="宋体" w:hAnsi="宋体"/>
          <w:bCs/>
          <w:color w:val="000000"/>
          <w:u w:val="single"/>
        </w:rPr>
        <w:t xml:space="preserve">       </w:t>
      </w:r>
      <w:r>
        <w:rPr>
          <w:rFonts w:hint="eastAsia" w:ascii="宋体" w:hAnsi="宋体"/>
          <w:bCs/>
          <w:color w:val="000000"/>
        </w:rPr>
        <w:t xml:space="preserve"> 年</w:t>
      </w:r>
      <w:r>
        <w:rPr>
          <w:rFonts w:hint="eastAsia" w:ascii="宋体" w:hAnsi="宋体"/>
          <w:bCs/>
          <w:color w:val="000000"/>
          <w:u w:val="single"/>
        </w:rPr>
        <w:t xml:space="preserve">     </w:t>
      </w:r>
      <w:r>
        <w:rPr>
          <w:rFonts w:hint="eastAsia" w:ascii="宋体" w:hAnsi="宋体"/>
          <w:bCs/>
          <w:color w:val="000000"/>
        </w:rPr>
        <w:t xml:space="preserve">月 </w:t>
      </w:r>
      <w:r>
        <w:rPr>
          <w:rFonts w:hint="eastAsia" w:ascii="宋体" w:hAnsi="宋体"/>
          <w:bCs/>
          <w:color w:val="000000"/>
          <w:u w:val="single"/>
        </w:rPr>
        <w:t xml:space="preserve">    </w:t>
      </w:r>
      <w:r>
        <w:rPr>
          <w:rFonts w:hint="eastAsia" w:ascii="宋体" w:hAnsi="宋体"/>
          <w:bCs/>
          <w:color w:val="000000"/>
        </w:rPr>
        <w:t>日</w:t>
      </w: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61"/>
        <w:ind w:firstLine="400"/>
      </w:pPr>
    </w:p>
    <w:p>
      <w:pPr>
        <w:pStyle w:val="5"/>
        <w:numPr>
          <w:ilvl w:val="7"/>
          <w:numId w:val="37"/>
        </w:numPr>
        <w:spacing w:before="240" w:after="240" w:line="240" w:lineRule="exact"/>
        <w:ind w:left="0" w:firstLine="0"/>
        <w:rPr>
          <w:color w:val="000000"/>
          <w:sz w:val="24"/>
          <w:szCs w:val="24"/>
        </w:rPr>
      </w:pPr>
      <w:bookmarkStart w:id="2168" w:name="_Toc83905594"/>
      <w:r>
        <w:rPr>
          <w:rFonts w:hint="eastAsia"/>
          <w:color w:val="000000"/>
          <w:sz w:val="24"/>
          <w:szCs w:val="24"/>
        </w:rPr>
        <w:t>投标文件商务及技术部分</w:t>
      </w:r>
      <w:bookmarkEnd w:id="2168"/>
    </w:p>
    <w:p>
      <w:pPr>
        <w:pStyle w:val="8"/>
        <w:ind w:firstLine="0"/>
        <w:jc w:val="center"/>
        <w:rPr>
          <w:rFonts w:hAnsi="Cambria"/>
          <w:b/>
          <w:color w:val="000000"/>
          <w:kern w:val="2"/>
          <w:sz w:val="32"/>
          <w:szCs w:val="21"/>
        </w:rPr>
      </w:pPr>
      <w:r>
        <w:rPr>
          <w:rFonts w:hint="eastAsia" w:hAnsi="Cambria"/>
          <w:b/>
          <w:color w:val="000000"/>
          <w:kern w:val="2"/>
          <w:sz w:val="32"/>
          <w:szCs w:val="21"/>
        </w:rPr>
        <w:t>商务及技术封面格式</w:t>
      </w:r>
    </w:p>
    <w:p>
      <w:pPr>
        <w:pStyle w:val="8"/>
        <w:rPr>
          <w:rFonts w:hAnsi="宋体"/>
          <w:bCs/>
          <w:color w:val="000000"/>
          <w:sz w:val="21"/>
          <w:szCs w:val="21"/>
        </w:rPr>
      </w:pPr>
      <w:r>
        <w:rPr>
          <w:rFonts w:hint="eastAsia" w:hAnsi="宋体"/>
          <w:bCs/>
          <w:color w:val="000000"/>
          <w:sz w:val="21"/>
          <w:szCs w:val="21"/>
        </w:rPr>
        <w:t xml:space="preserve"> </w:t>
      </w:r>
    </w:p>
    <w:p>
      <w:pPr>
        <w:pStyle w:val="8"/>
        <w:spacing w:line="360" w:lineRule="auto"/>
        <w:rPr>
          <w:rFonts w:hAnsi="宋体"/>
          <w:bCs/>
          <w:color w:val="000000"/>
          <w:sz w:val="21"/>
          <w:szCs w:val="21"/>
        </w:rPr>
      </w:pPr>
      <w:r>
        <w:rPr>
          <w:rFonts w:hint="eastAsia" w:hAnsi="宋体"/>
          <w:bCs/>
          <w:color w:val="000000"/>
          <w:sz w:val="21"/>
          <w:szCs w:val="21"/>
        </w:rPr>
        <w:t xml:space="preserve">1、投标内容应当编目录、页码，按页码排序并装订成册。   </w:t>
      </w:r>
    </w:p>
    <w:p>
      <w:pPr>
        <w:pStyle w:val="8"/>
        <w:spacing w:line="360" w:lineRule="auto"/>
        <w:rPr>
          <w:rFonts w:hAnsi="宋体"/>
          <w:bCs/>
          <w:color w:val="000000"/>
          <w:sz w:val="21"/>
          <w:szCs w:val="21"/>
        </w:rPr>
      </w:pPr>
      <w:r>
        <w:rPr>
          <w:rFonts w:hint="eastAsia" w:hAnsi="宋体"/>
          <w:bCs/>
          <w:color w:val="000000"/>
          <w:sz w:val="21"/>
          <w:szCs w:val="21"/>
        </w:rPr>
        <w:t>2、文件的封面格式由投标人自拟，并应注明“投标文件、项目编号、项目名称、投标人名称及地址、法定代表人（负责人）或授权代理人、联系电话、传真、邮编，并加盖投标人公章。</w:t>
      </w: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Cs/>
          <w:color w:val="000000"/>
          <w:sz w:val="21"/>
          <w:szCs w:val="21"/>
        </w:rPr>
      </w:pPr>
    </w:p>
    <w:p>
      <w:pPr>
        <w:pStyle w:val="8"/>
        <w:spacing w:line="360" w:lineRule="auto"/>
        <w:rPr>
          <w:rFonts w:hAnsi="宋体"/>
          <w:b/>
          <w:color w:val="000000"/>
          <w:sz w:val="21"/>
          <w:szCs w:val="21"/>
        </w:rPr>
      </w:pPr>
    </w:p>
    <w:p>
      <w:pPr>
        <w:pStyle w:val="8"/>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8"/>
        <w:spacing w:line="360" w:lineRule="auto"/>
        <w:jc w:val="center"/>
        <w:rPr>
          <w:rFonts w:hAnsi="宋体"/>
          <w:bCs/>
          <w:color w:val="000000"/>
          <w:sz w:val="52"/>
          <w:szCs w:val="52"/>
        </w:rPr>
      </w:pPr>
      <w:r>
        <w:rPr>
          <w:rFonts w:hint="eastAsia" w:hAnsi="宋体"/>
          <w:b/>
          <w:color w:val="000000"/>
          <w:sz w:val="44"/>
          <w:szCs w:val="44"/>
        </w:rPr>
        <w:t>（商务及技术文件）</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360" w:lineRule="auto"/>
        <w:jc w:val="center"/>
        <w:rPr>
          <w:rFonts w:hAnsi="宋体"/>
          <w:bCs/>
          <w:color w:val="000000"/>
          <w:sz w:val="52"/>
          <w:szCs w:val="52"/>
        </w:rPr>
      </w:pPr>
      <w:r>
        <w:rPr>
          <w:rFonts w:hint="eastAsia" w:hAnsi="宋体"/>
          <w:bCs/>
          <w:color w:val="000000"/>
          <w:sz w:val="52"/>
          <w:szCs w:val="52"/>
        </w:rPr>
        <w:t xml:space="preserve"> </w:t>
      </w:r>
    </w:p>
    <w:p>
      <w:pPr>
        <w:pStyle w:val="8"/>
        <w:spacing w:line="440" w:lineRule="exact"/>
        <w:jc w:val="center"/>
        <w:rPr>
          <w:rFonts w:hAnsi="宋体"/>
          <w:bCs/>
          <w:color w:val="000000"/>
          <w:sz w:val="21"/>
          <w:szCs w:val="21"/>
        </w:rPr>
      </w:pPr>
      <w:r>
        <w:rPr>
          <w:rFonts w:hint="eastAsia" w:hAnsi="宋体"/>
          <w:bCs/>
          <w:color w:val="000000"/>
          <w:sz w:val="21"/>
          <w:szCs w:val="21"/>
        </w:rPr>
        <w:t xml:space="preserve"> </w:t>
      </w:r>
    </w:p>
    <w:p>
      <w:pPr>
        <w:pStyle w:val="8"/>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olor w:val="000000"/>
          <w:sz w:val="21"/>
          <w:szCs w:val="21"/>
          <w:u w:val="single"/>
        </w:rPr>
        <w:t>采购项目名称，由投标人填写</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8"/>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8"/>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pStyle w:val="61"/>
        <w:ind w:firstLine="400"/>
      </w:pPr>
    </w:p>
    <w:p>
      <w:pPr>
        <w:pStyle w:val="5"/>
        <w:keepLines w:val="0"/>
        <w:numPr>
          <w:ilvl w:val="0"/>
          <w:numId w:val="0"/>
        </w:numPr>
        <w:tabs>
          <w:tab w:val="left" w:pos="4320"/>
        </w:tabs>
        <w:spacing w:before="240" w:after="60" w:line="360" w:lineRule="exact"/>
        <w:rPr>
          <w:rFonts w:ascii="宋体"/>
          <w:bCs w:val="0"/>
          <w:color w:val="000000"/>
          <w:szCs w:val="21"/>
        </w:rPr>
      </w:pPr>
      <w:bookmarkStart w:id="2169" w:name="_Toc83905595"/>
      <w:r>
        <w:rPr>
          <w:rFonts w:hint="eastAsia" w:ascii="宋体"/>
          <w:bCs w:val="0"/>
          <w:color w:val="000000"/>
          <w:szCs w:val="21"/>
        </w:rPr>
        <w:t>符合性自查表</w:t>
      </w:r>
      <w:bookmarkEnd w:id="2165"/>
      <w:bookmarkEnd w:id="2166"/>
      <w:bookmarkEnd w:id="2169"/>
    </w:p>
    <w:p>
      <w:pPr>
        <w:jc w:val="center"/>
        <w:rPr>
          <w:rFonts w:ascii="宋体" w:hAnsi="宋体"/>
          <w:b/>
          <w:bCs/>
          <w:color w:val="000000"/>
          <w:szCs w:val="21"/>
        </w:rPr>
      </w:pPr>
    </w:p>
    <w:tbl>
      <w:tblPr>
        <w:tblStyle w:val="52"/>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评审内容</w:t>
            </w:r>
          </w:p>
        </w:tc>
        <w:tc>
          <w:tcPr>
            <w:tcW w:w="1958"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招标文件要求</w:t>
            </w:r>
          </w:p>
        </w:tc>
        <w:tc>
          <w:tcPr>
            <w:tcW w:w="1975"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自查结论</w:t>
            </w:r>
          </w:p>
          <w:p>
            <w:pPr>
              <w:tabs>
                <w:tab w:val="left" w:pos="480"/>
              </w:tabs>
              <w:ind w:left="480" w:hanging="480"/>
              <w:jc w:val="center"/>
              <w:rPr>
                <w:rFonts w:ascii="宋体" w:hAnsi="宋体"/>
                <w:bCs/>
                <w:color w:val="000000"/>
                <w:szCs w:val="21"/>
              </w:rPr>
            </w:pPr>
            <w:r>
              <w:rPr>
                <w:rFonts w:hint="eastAsia" w:ascii="宋体" w:hAnsi="宋体"/>
                <w:bCs/>
                <w:color w:val="000000"/>
                <w:szCs w:val="21"/>
              </w:rPr>
              <w:t>（通过/不通过）</w:t>
            </w:r>
          </w:p>
        </w:tc>
        <w:tc>
          <w:tcPr>
            <w:tcW w:w="2484"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restart"/>
            <w:vAlign w:val="center"/>
          </w:tcPr>
          <w:p>
            <w:pPr>
              <w:tabs>
                <w:tab w:val="left" w:pos="480"/>
              </w:tabs>
              <w:ind w:left="480" w:hanging="480"/>
              <w:jc w:val="center"/>
              <w:rPr>
                <w:rFonts w:ascii="宋体" w:hAnsi="宋体"/>
                <w:color w:val="000000"/>
                <w:szCs w:val="21"/>
              </w:rPr>
            </w:pPr>
            <w:r>
              <w:rPr>
                <w:rFonts w:hint="eastAsia" w:ascii="宋体" w:hAnsi="宋体"/>
                <w:color w:val="000000"/>
                <w:szCs w:val="21"/>
              </w:rPr>
              <w:t>符合性审查</w:t>
            </w:r>
          </w:p>
        </w:tc>
        <w:tc>
          <w:tcPr>
            <w:tcW w:w="2300" w:type="dxa"/>
            <w:vAlign w:val="center"/>
          </w:tcPr>
          <w:p>
            <w:pPr>
              <w:jc w:val="center"/>
            </w:pPr>
            <w:r>
              <w:rPr>
                <w:rFonts w:hint="eastAsia" w:ascii="宋体" w:hAnsi="宋体"/>
                <w:bCs/>
                <w:color w:val="000000"/>
              </w:rPr>
              <w:t>满足“★”的要求</w:t>
            </w:r>
          </w:p>
          <w:p>
            <w:pPr>
              <w:tabs>
                <w:tab w:val="left" w:pos="146"/>
              </w:tabs>
              <w:ind w:left="146"/>
              <w:rPr>
                <w:rFonts w:ascii="宋体" w:hAnsi="宋体"/>
                <w:color w:val="000000"/>
                <w:szCs w:val="21"/>
              </w:rPr>
            </w:pP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continue"/>
            <w:vAlign w:val="center"/>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完工期须满足要求</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投标报价未超出报价上限</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保证金须满足要求</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法定代表人证明书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1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法定代表人授权书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1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法定代表人及代理人身份证</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提交复印件加盖公章</w:t>
            </w:r>
          </w:p>
        </w:tc>
        <w:tc>
          <w:tcPr>
            <w:tcW w:w="1975" w:type="dxa"/>
            <w:vAlign w:val="center"/>
          </w:tcPr>
          <w:p>
            <w:pPr>
              <w:pStyle w:val="1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bl>
    <w:p>
      <w:pPr>
        <w:tabs>
          <w:tab w:val="center" w:pos="4483"/>
        </w:tabs>
        <w:ind w:left="315" w:leftChars="50" w:hanging="210" w:hangingChars="100"/>
        <w:rPr>
          <w:rFonts w:ascii="宋体" w:hAnsi="宋体"/>
          <w:color w:val="000000"/>
          <w:szCs w:val="21"/>
        </w:rPr>
      </w:pP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szCs w:val="21"/>
        </w:rPr>
        <w:t>提交的资料字迹模糊不清而现场无法提供原件核实的</w:t>
      </w:r>
      <w:r>
        <w:rPr>
          <w:rFonts w:hint="eastAsia" w:ascii="宋体" w:hAnsi="宋体"/>
          <w:color w:val="000000"/>
          <w:szCs w:val="21"/>
        </w:rPr>
        <w:t>将会直接导致无效投标。</w:t>
      </w:r>
      <w:r>
        <w:rPr>
          <w:rFonts w:hint="eastAsia" w:ascii="宋体" w:hAnsi="宋体"/>
          <w:bCs/>
          <w:color w:val="000000"/>
          <w:szCs w:val="21"/>
        </w:rPr>
        <w:t>不能继续参与后续评标，有效投标人少于3家的将导致废标。废标后，除采购任务取消情形外，应当重新组织采购。</w:t>
      </w:r>
      <w:r>
        <w:rPr>
          <w:rFonts w:hint="eastAsia" w:ascii="宋体" w:hAnsi="宋体"/>
          <w:color w:val="000000"/>
          <w:szCs w:val="21"/>
        </w:rPr>
        <w:t>在对应的自查结论中填“通过”或“不通过”。</w:t>
      </w: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 xml:space="preserve">    2.</w:t>
      </w:r>
      <w:r>
        <w:rPr>
          <w:rFonts w:hint="eastAsia" w:ascii="宋体" w:hAnsi="宋体"/>
          <w:bCs/>
          <w:color w:val="000000"/>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p>
    <w:p>
      <w:pPr>
        <w:adjustRightInd w:val="0"/>
        <w:snapToGrid w:val="0"/>
        <w:spacing w:line="300" w:lineRule="auto"/>
        <w:rPr>
          <w:rFonts w:ascii="宋体" w:hAnsi="宋体"/>
          <w:color w:val="000000"/>
          <w:szCs w:val="21"/>
          <w:u w:val="single"/>
        </w:rPr>
      </w:pPr>
      <w:r>
        <w:rPr>
          <w:rFonts w:hint="eastAsia"/>
          <w:color w:val="000000"/>
          <w:szCs w:val="21"/>
        </w:rPr>
        <w:t>投标人法定代表人（负责人）或授权代理人（签字）：</w:t>
      </w:r>
      <w:r>
        <w:rPr>
          <w:rFonts w:hint="eastAsia"/>
          <w:color w:val="000000"/>
          <w:szCs w:val="21"/>
          <w:u w:val="single"/>
        </w:rPr>
        <w:t xml:space="preserve">          </w:t>
      </w:r>
    </w:p>
    <w:p>
      <w:pPr>
        <w:adjustRightInd w:val="0"/>
        <w:snapToGrid w:val="0"/>
        <w:spacing w:line="30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00" w:lineRule="auto"/>
        <w:rPr>
          <w:rFonts w:ascii="宋体" w:hAnsi="宋体"/>
          <w:color w:val="000000"/>
          <w:szCs w:val="21"/>
        </w:rPr>
      </w:pPr>
      <w:r>
        <w:rPr>
          <w:rFonts w:hint="eastAsia" w:ascii="宋体" w:hAnsi="宋体"/>
          <w:color w:val="000000"/>
          <w:szCs w:val="21"/>
        </w:rPr>
        <w:t>日期：   年   月   日</w:t>
      </w:r>
    </w:p>
    <w:bookmarkEnd w:id="2162"/>
    <w:bookmarkEnd w:id="2163"/>
    <w:p>
      <w:pPr>
        <w:pStyle w:val="5"/>
        <w:keepLines w:val="0"/>
        <w:widowControl w:val="0"/>
        <w:numPr>
          <w:ilvl w:val="0"/>
          <w:numId w:val="0"/>
        </w:numPr>
        <w:spacing w:before="240" w:after="60" w:line="480" w:lineRule="exact"/>
        <w:ind w:left="3402"/>
        <w:jc w:val="both"/>
        <w:rPr>
          <w:rFonts w:ascii="宋体"/>
          <w:color w:val="000000"/>
        </w:rPr>
      </w:pPr>
      <w:bookmarkStart w:id="2170" w:name="_Toc83905596"/>
      <w:r>
        <w:rPr>
          <w:rFonts w:hint="eastAsia" w:hAnsi="黑体"/>
          <w:b w:val="0"/>
          <w:color w:val="000000"/>
        </w:rPr>
        <w:t>评审项目投标资料表</w:t>
      </w:r>
      <w:bookmarkEnd w:id="2170"/>
    </w:p>
    <w:p>
      <w:pPr>
        <w:jc w:val="center"/>
        <w:rPr>
          <w:rFonts w:ascii="宋体" w:hAnsi="宋体" w:eastAsia="黑体"/>
          <w:b/>
          <w:color w:val="000000"/>
          <w:kern w:val="44"/>
        </w:rPr>
      </w:pPr>
      <w:r>
        <w:rPr>
          <w:rFonts w:hint="eastAsia" w:ascii="宋体" w:hAnsi="宋体" w:eastAsia="黑体"/>
          <w:b/>
          <w:color w:val="000000"/>
          <w:kern w:val="44"/>
        </w:rPr>
        <w:t xml:space="preserve"> </w:t>
      </w:r>
    </w:p>
    <w:tbl>
      <w:tblPr>
        <w:tblStyle w:val="52"/>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49"/>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评审分项</w:t>
            </w:r>
          </w:p>
        </w:tc>
        <w:tc>
          <w:tcPr>
            <w:tcW w:w="5202" w:type="dxa"/>
            <w:tcBorders>
              <w:top w:val="single" w:color="auto" w:sz="4" w:space="0"/>
              <w:left w:val="nil"/>
              <w:bottom w:val="single" w:color="auto" w:sz="4" w:space="0"/>
              <w:right w:val="single" w:color="auto" w:sz="4" w:space="0"/>
            </w:tcBorders>
            <w:vAlign w:val="center"/>
          </w:tcPr>
          <w:p>
            <w:pPr>
              <w:pStyle w:val="249"/>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评审细则</w:t>
            </w:r>
          </w:p>
        </w:tc>
        <w:tc>
          <w:tcPr>
            <w:tcW w:w="2300" w:type="dxa"/>
            <w:tcBorders>
              <w:top w:val="single" w:color="auto" w:sz="4" w:space="0"/>
              <w:left w:val="nil"/>
              <w:bottom w:val="single" w:color="auto" w:sz="4" w:space="0"/>
              <w:right w:val="single" w:color="auto" w:sz="4" w:space="0"/>
            </w:tcBorders>
            <w:vAlign w:val="center"/>
          </w:tcPr>
          <w:p>
            <w:pPr>
              <w:pStyle w:val="249"/>
              <w:spacing w:before="0" w:after="0"/>
              <w:rPr>
                <w:rFonts w:ascii="宋体" w:hAnsi="宋体"/>
                <w:color w:val="000000"/>
                <w:spacing w:val="0"/>
                <w:kern w:val="2"/>
                <w:sz w:val="21"/>
                <w:szCs w:val="21"/>
              </w:rPr>
            </w:pPr>
            <w:r>
              <w:rPr>
                <w:rFonts w:hint="eastAsia" w:ascii="宋体" w:hAnsi="宋体"/>
                <w:color w:val="000000"/>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
              <w:numPr>
                <w:ilvl w:val="0"/>
                <w:numId w:val="38"/>
              </w:numPr>
              <w:spacing w:before="100" w:beforeAutospacing="1" w:after="100" w:afterAutospacing="1"/>
              <w:ind w:left="0" w:firstLine="0"/>
              <w:jc w:val="both"/>
              <w:rPr>
                <w:rFonts w:ascii="宋体" w:hAnsi="宋体" w:eastAsia="宋体" w:cs="Times New Roman"/>
                <w:color w:val="000000"/>
                <w:sz w:val="21"/>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36"/>
              <w:ind w:left="420" w:firstLine="420"/>
              <w:jc w:val="center"/>
              <w:rPr>
                <w:rFonts w:ascii="宋体" w:hAnsi="宋体"/>
                <w:color w:val="000000"/>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36"/>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36"/>
              <w:rPr>
                <w:rFonts w:ascii="宋体" w:hAnsi="宋体"/>
                <w:color w:val="000000"/>
              </w:rPr>
            </w:pPr>
            <w:r>
              <w:rPr>
                <w:rFonts w:hint="eastAsia" w:ascii="宋体" w:hAnsi="宋体"/>
                <w:color w:val="000000"/>
              </w:rPr>
              <w:t>见投标文件第（）页</w:t>
            </w:r>
          </w:p>
        </w:tc>
      </w:tr>
    </w:tbl>
    <w:p>
      <w:pPr>
        <w:adjustRightInd w:val="0"/>
        <w:snapToGrid w:val="0"/>
        <w:spacing w:line="300" w:lineRule="auto"/>
        <w:rPr>
          <w:rFonts w:ascii="宋体" w:hAnsi="宋体"/>
          <w:color w:val="000000"/>
          <w:szCs w:val="21"/>
        </w:rPr>
      </w:pPr>
      <w:r>
        <w:rPr>
          <w:rFonts w:hint="eastAsia" w:ascii="宋体" w:hAnsi="宋体"/>
          <w:color w:val="000000"/>
        </w:rPr>
        <w:t xml:space="preserve"> </w:t>
      </w:r>
    </w:p>
    <w:p>
      <w:pPr>
        <w:adjustRightInd w:val="0"/>
        <w:snapToGrid w:val="0"/>
        <w:spacing w:line="300" w:lineRule="auto"/>
        <w:rPr>
          <w:rFonts w:ascii="宋体" w:hAnsi="宋体"/>
          <w:color w:val="000000"/>
        </w:rPr>
      </w:pPr>
      <w:r>
        <w:rPr>
          <w:rFonts w:hint="eastAsia" w:ascii="宋体" w:hAnsi="宋体"/>
          <w:color w:val="000000"/>
        </w:rPr>
        <w:t xml:space="preserve"> </w:t>
      </w:r>
    </w:p>
    <w:p>
      <w:pPr>
        <w:spacing w:line="36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8"/>
        <w:spacing w:line="360" w:lineRule="auto"/>
        <w:ind w:left="420" w:firstLine="0"/>
        <w:rPr>
          <w:rFonts w:hAnsi="宋体"/>
          <w:color w:val="000000" w:themeColor="text1"/>
        </w:rPr>
      </w:pPr>
    </w:p>
    <w:p>
      <w:pPr>
        <w:pStyle w:val="8"/>
        <w:spacing w:line="360" w:lineRule="auto"/>
        <w:ind w:firstLine="0"/>
        <w:rPr>
          <w:rFonts w:hAnsi="宋体"/>
          <w:color w:val="000000" w:themeColor="text1"/>
        </w:rPr>
      </w:pPr>
    </w:p>
    <w:p>
      <w:pPr>
        <w:pStyle w:val="5"/>
        <w:numPr>
          <w:ilvl w:val="1"/>
          <w:numId w:val="0"/>
        </w:numPr>
        <w:spacing w:line="360" w:lineRule="auto"/>
        <w:rPr>
          <w:rFonts w:ascii="宋体" w:hAnsi="宋体"/>
          <w:color w:val="000000" w:themeColor="text1"/>
          <w:kern w:val="0"/>
          <w:sz w:val="28"/>
          <w:szCs w:val="28"/>
        </w:rPr>
      </w:pPr>
      <w:bookmarkStart w:id="2171" w:name="_Toc200414516"/>
      <w:bookmarkStart w:id="2172" w:name="_Toc469160786"/>
      <w:bookmarkStart w:id="2173" w:name="_Toc83905597"/>
      <w:r>
        <w:rPr>
          <w:rFonts w:hint="eastAsia" w:ascii="宋体" w:hAnsi="宋体"/>
          <w:color w:val="000000" w:themeColor="text1"/>
          <w:kern w:val="0"/>
          <w:sz w:val="28"/>
          <w:szCs w:val="28"/>
        </w:rPr>
        <w:t>（一）法定代表人（负责人）证明书</w:t>
      </w:r>
      <w:bookmarkEnd w:id="2171"/>
      <w:bookmarkEnd w:id="2172"/>
      <w:bookmarkEnd w:id="2173"/>
    </w:p>
    <w:p>
      <w:pPr>
        <w:pStyle w:val="8"/>
        <w:spacing w:line="360" w:lineRule="auto"/>
        <w:rPr>
          <w:rFonts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 xml:space="preserve">的   </w:t>
      </w:r>
      <w:r>
        <w:rPr>
          <w:rFonts w:hint="eastAsia" w:ascii="宋体" w:hAnsi="宋体"/>
          <w:color w:val="000000" w:themeColor="text1"/>
          <w:u w:val="single"/>
        </w:rPr>
        <w:t xml:space="preserve">职务    </w:t>
      </w:r>
      <w:r>
        <w:rPr>
          <w:rFonts w:hint="eastAsia" w:ascii="宋体" w:hAnsi="宋体"/>
          <w:color w:val="000000" w:themeColor="text1"/>
        </w:rPr>
        <w:t>，为法定代表人（负责人），特此证明。</w:t>
      </w:r>
    </w:p>
    <w:p>
      <w:pPr>
        <w:spacing w:line="360" w:lineRule="auto"/>
        <w:ind w:firstLine="420" w:firstLineChars="200"/>
        <w:rPr>
          <w:rFonts w:ascii="宋体" w:hAnsi="宋体"/>
          <w:color w:val="000000" w:themeColor="text1"/>
        </w:rPr>
      </w:pPr>
      <w:r>
        <w:rPr>
          <w:rFonts w:hint="eastAsia" w:ascii="宋体" w:hAnsi="宋体"/>
          <w:color w:val="000000" w:themeColor="text1"/>
        </w:rPr>
        <w:t xml:space="preserve">      </w:t>
      </w:r>
    </w:p>
    <w:p>
      <w:pPr>
        <w:spacing w:line="360" w:lineRule="auto"/>
        <w:ind w:firstLine="420" w:firstLineChars="200"/>
        <w:rPr>
          <w:rFonts w:ascii="宋体" w:hAnsi="宋体"/>
          <w:color w:val="000000" w:themeColor="text1"/>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r>
        <w:rPr>
          <w:rFonts w:hint="eastAsia" w:ascii="宋体" w:hAnsi="宋体"/>
          <w:color w:val="000000" w:themeColor="text1"/>
        </w:rPr>
        <w:t xml:space="preserve">                          </w:t>
      </w:r>
    </w:p>
    <w:p>
      <w:pPr>
        <w:spacing w:line="360" w:lineRule="auto"/>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360" w:lineRule="auto"/>
        <w:ind w:firstLine="420" w:firstLineChars="200"/>
        <w:rPr>
          <w:rFonts w:ascii="宋体" w:hAnsi="宋体"/>
          <w:color w:val="000000" w:themeColor="text1"/>
        </w:rPr>
      </w:pPr>
    </w:p>
    <w:p>
      <w:pPr>
        <w:spacing w:line="360" w:lineRule="auto"/>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pStyle w:val="8"/>
        <w:spacing w:line="360" w:lineRule="auto"/>
        <w:rPr>
          <w:rFonts w:hAnsi="宋体"/>
          <w:color w:val="000000" w:themeColor="text1"/>
        </w:rPr>
      </w:pPr>
    </w:p>
    <w:p>
      <w:pPr>
        <w:pStyle w:val="8"/>
        <w:spacing w:line="360" w:lineRule="auto"/>
        <w:rPr>
          <w:rFonts w:hAnsi="宋体"/>
          <w:color w:val="000000" w:themeColor="text1"/>
        </w:rPr>
      </w:pPr>
    </w:p>
    <w:p>
      <w:pPr>
        <w:pStyle w:val="8"/>
        <w:spacing w:line="360" w:lineRule="auto"/>
        <w:rPr>
          <w:rFonts w:hAnsi="宋体"/>
          <w:color w:val="000000" w:themeColor="text1"/>
        </w:rPr>
      </w:pPr>
    </w:p>
    <w:p>
      <w:pPr>
        <w:pStyle w:val="8"/>
        <w:spacing w:line="360" w:lineRule="auto"/>
        <w:ind w:firstLine="0"/>
        <w:rPr>
          <w:rFonts w:hAnsi="宋体"/>
          <w:color w:val="000000" w:themeColor="text1"/>
        </w:rPr>
      </w:pPr>
      <w:r>
        <w:rPr>
          <w:rFonts w:hAnsi="宋体"/>
          <w:color w:val="000000" w:themeColor="text1"/>
        </w:rPr>
        <w:pict>
          <v:shape id="自选图形 193" o:spid="_x0000_s1026" o:spt="176" type="#_x0000_t176" style="position:absolute;left:0pt;margin-left:62.75pt;margin-top:6.95pt;height:140.3pt;width:275.8pt;z-index:251660288;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rPr>
        <w:t xml:space="preserve">    </w:t>
      </w:r>
    </w:p>
    <w:p>
      <w:pPr>
        <w:pStyle w:val="8"/>
        <w:spacing w:line="360" w:lineRule="auto"/>
        <w:ind w:firstLine="0"/>
        <w:rPr>
          <w:rFonts w:hAnsi="宋体"/>
          <w:color w:val="000000" w:themeColor="text1"/>
        </w:rPr>
      </w:pPr>
    </w:p>
    <w:p>
      <w:pPr>
        <w:pStyle w:val="8"/>
        <w:spacing w:line="360" w:lineRule="auto"/>
        <w:ind w:firstLine="0"/>
        <w:rPr>
          <w:rFonts w:hAnsi="宋体"/>
          <w:color w:val="000000" w:themeColor="text1"/>
        </w:rPr>
      </w:pPr>
      <w:r>
        <w:rPr>
          <w:rFonts w:hint="eastAsia" w:hAnsi="宋体"/>
          <w:color w:val="000000" w:themeColor="text1"/>
        </w:rPr>
        <w:t xml:space="preserve">   </w:t>
      </w:r>
    </w:p>
    <w:p>
      <w:pPr>
        <w:pStyle w:val="8"/>
        <w:spacing w:line="360" w:lineRule="auto"/>
        <w:ind w:firstLine="0"/>
        <w:rPr>
          <w:rFonts w:hAnsi="宋体"/>
          <w:color w:val="000000" w:themeColor="text1"/>
        </w:rPr>
      </w:pPr>
    </w:p>
    <w:p>
      <w:pPr>
        <w:pStyle w:val="8"/>
        <w:spacing w:line="360" w:lineRule="auto"/>
        <w:rPr>
          <w:rFonts w:hAnsi="宋体"/>
          <w:color w:val="000000" w:themeColor="text1"/>
        </w:rPr>
      </w:pPr>
    </w:p>
    <w:p>
      <w:pPr>
        <w:pStyle w:val="8"/>
        <w:spacing w:line="360" w:lineRule="auto"/>
        <w:rPr>
          <w:rFonts w:hAnsi="宋体"/>
          <w:color w:val="000000" w:themeColor="text1"/>
        </w:rPr>
      </w:pPr>
    </w:p>
    <w:p>
      <w:pPr>
        <w:pStyle w:val="8"/>
        <w:spacing w:line="360" w:lineRule="auto"/>
        <w:rPr>
          <w:rFonts w:hAnsi="宋体"/>
          <w:color w:val="000000" w:themeColor="text1"/>
        </w:rPr>
      </w:pPr>
    </w:p>
    <w:p>
      <w:pPr>
        <w:pStyle w:val="8"/>
        <w:spacing w:line="360" w:lineRule="auto"/>
        <w:rPr>
          <w:rFonts w:hAnsi="宋体"/>
          <w:color w:val="000000" w:themeColor="text1"/>
        </w:rPr>
      </w:pPr>
    </w:p>
    <w:p>
      <w:pPr>
        <w:pStyle w:val="8"/>
        <w:spacing w:line="360" w:lineRule="auto"/>
        <w:rPr>
          <w:rFonts w:hAnsi="宋体"/>
          <w:color w:val="000000" w:themeColor="text1"/>
        </w:rPr>
      </w:pPr>
    </w:p>
    <w:p>
      <w:pPr>
        <w:pStyle w:val="8"/>
        <w:spacing w:line="360" w:lineRule="auto"/>
        <w:rPr>
          <w:rFonts w:hAnsi="宋体"/>
          <w:color w:val="000000" w:themeColor="text1"/>
        </w:rPr>
      </w:pPr>
    </w:p>
    <w:p>
      <w:pPr>
        <w:pStyle w:val="5"/>
        <w:numPr>
          <w:ilvl w:val="1"/>
          <w:numId w:val="0"/>
        </w:numPr>
        <w:spacing w:line="360" w:lineRule="auto"/>
        <w:rPr>
          <w:rFonts w:ascii="宋体" w:hAnsi="宋体"/>
          <w:color w:val="000000" w:themeColor="text1"/>
          <w:sz w:val="28"/>
          <w:szCs w:val="28"/>
        </w:rPr>
      </w:pPr>
      <w:bookmarkStart w:id="2174" w:name="_Toc469160787"/>
      <w:bookmarkStart w:id="2175" w:name="_Toc200414517"/>
      <w:bookmarkStart w:id="2176" w:name="_Toc83905598"/>
      <w:r>
        <w:rPr>
          <w:rFonts w:hint="eastAsia" w:ascii="宋体" w:hAnsi="宋体"/>
          <w:color w:val="000000" w:themeColor="text1"/>
          <w:sz w:val="28"/>
          <w:szCs w:val="28"/>
        </w:rPr>
        <w:t>（二）法定代表人（负责人）授权书</w:t>
      </w:r>
      <w:bookmarkEnd w:id="2174"/>
      <w:bookmarkEnd w:id="2175"/>
      <w:bookmarkEnd w:id="2176"/>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本授权委托书声明：我</w:t>
      </w:r>
      <w:r>
        <w:rPr>
          <w:rFonts w:hint="eastAsia" w:ascii="宋体" w:hAnsi="宋体"/>
          <w:bCs/>
          <w:color w:val="000000" w:themeColor="text1"/>
          <w:kern w:val="0"/>
          <w:szCs w:val="21"/>
          <w:u w:val="single"/>
        </w:rPr>
        <w:t xml:space="preserve">        （单位</w:t>
      </w:r>
      <w:r>
        <w:rPr>
          <w:rFonts w:hint="eastAsia" w:ascii="宋体" w:hAnsi="宋体" w:cs="宋体"/>
          <w:bCs/>
          <w:color w:val="000000" w:themeColor="text1"/>
          <w:kern w:val="0"/>
          <w:szCs w:val="21"/>
          <w:u w:val="single"/>
        </w:rPr>
        <w:t>法定代表人（负责人）</w:t>
      </w:r>
      <w:r>
        <w:rPr>
          <w:rFonts w:hint="eastAsia" w:ascii="宋体" w:hAnsi="宋体"/>
          <w:bCs/>
          <w:color w:val="000000" w:themeColor="text1"/>
          <w:kern w:val="0"/>
          <w:szCs w:val="21"/>
          <w:u w:val="single"/>
        </w:rPr>
        <w:t>姓名）</w:t>
      </w:r>
      <w:r>
        <w:rPr>
          <w:rFonts w:hint="eastAsia" w:ascii="宋体" w:hAnsi="宋体"/>
          <w:bCs/>
          <w:color w:val="000000" w:themeColor="text1"/>
          <w:kern w:val="0"/>
          <w:szCs w:val="21"/>
        </w:rPr>
        <w:t xml:space="preserve"> 系</w:t>
      </w:r>
      <w:r>
        <w:rPr>
          <w:rFonts w:hint="eastAsia" w:ascii="宋体" w:hAnsi="宋体"/>
          <w:bCs/>
          <w:color w:val="000000" w:themeColor="text1"/>
          <w:kern w:val="0"/>
          <w:szCs w:val="21"/>
          <w:u w:val="single"/>
        </w:rPr>
        <w:t xml:space="preserve">       （投标人名称）</w:t>
      </w:r>
      <w:r>
        <w:rPr>
          <w:rFonts w:hint="eastAsia" w:ascii="宋体" w:hAnsi="宋体"/>
          <w:bCs/>
          <w:color w:val="000000" w:themeColor="text1"/>
          <w:kern w:val="0"/>
          <w:szCs w:val="21"/>
        </w:rPr>
        <w:t>的法定代表人（负责人），现授权委托</w:t>
      </w:r>
      <w:r>
        <w:rPr>
          <w:rFonts w:hint="eastAsia" w:ascii="宋体" w:hAnsi="宋体"/>
          <w:bCs/>
          <w:color w:val="000000" w:themeColor="text1"/>
          <w:kern w:val="0"/>
          <w:szCs w:val="21"/>
          <w:u w:val="single"/>
        </w:rPr>
        <w:t xml:space="preserve">                        （投标人名称）</w:t>
      </w:r>
      <w:r>
        <w:rPr>
          <w:rFonts w:hint="eastAsia" w:ascii="宋体" w:hAnsi="宋体"/>
          <w:bCs/>
          <w:color w:val="000000" w:themeColor="text1"/>
          <w:kern w:val="0"/>
          <w:szCs w:val="21"/>
        </w:rPr>
        <w:t>的</w:t>
      </w:r>
      <w:r>
        <w:rPr>
          <w:rFonts w:hint="eastAsia" w:ascii="宋体" w:hAnsi="宋体"/>
          <w:bCs/>
          <w:color w:val="000000" w:themeColor="text1"/>
          <w:kern w:val="0"/>
          <w:szCs w:val="21"/>
          <w:u w:val="single"/>
        </w:rPr>
        <w:t xml:space="preserve">            （代理人姓名）</w:t>
      </w:r>
      <w:r>
        <w:rPr>
          <w:rFonts w:hint="eastAsia" w:ascii="宋体" w:hAnsi="宋体"/>
          <w:bCs/>
          <w:color w:val="000000" w:themeColor="text1"/>
          <w:kern w:val="0"/>
          <w:szCs w:val="21"/>
        </w:rPr>
        <w:t>为我公司代理人，以本公司的名义参加</w:t>
      </w:r>
      <w:r>
        <w:rPr>
          <w:rFonts w:hint="eastAsia" w:ascii="宋体" w:hAnsi="宋体"/>
          <w:bCs/>
          <w:color w:val="000000"/>
          <w:kern w:val="0"/>
        </w:rPr>
        <w:t>阳江市投源招标采购有限公司</w:t>
      </w:r>
      <w:r>
        <w:rPr>
          <w:rFonts w:hint="eastAsia" w:ascii="宋体" w:hAnsi="宋体"/>
          <w:bCs/>
          <w:color w:val="000000" w:themeColor="text1"/>
          <w:kern w:val="0"/>
          <w:szCs w:val="21"/>
        </w:rPr>
        <w:t>组织的</w:t>
      </w:r>
      <w:r>
        <w:rPr>
          <w:rFonts w:hint="eastAsia" w:ascii="宋体" w:hAnsi="宋体"/>
          <w:bCs/>
          <w:color w:val="000000" w:themeColor="text1"/>
          <w:kern w:val="0"/>
          <w:szCs w:val="21"/>
          <w:u w:val="single"/>
        </w:rPr>
        <w:t xml:space="preserve">  </w:t>
      </w:r>
      <w:r>
        <w:rPr>
          <w:rFonts w:hint="eastAsia" w:ascii="宋体" w:hAnsi="宋体" w:cs="宋体"/>
          <w:b/>
          <w:color w:val="000000" w:themeColor="text1"/>
          <w:szCs w:val="21"/>
          <w:u w:val="single"/>
        </w:rPr>
        <w:t>项目名称，由投标人填写</w:t>
      </w:r>
      <w:r>
        <w:rPr>
          <w:rFonts w:hint="eastAsia" w:ascii="宋体" w:hAnsi="宋体" w:cs="宋体"/>
          <w:color w:val="000000" w:themeColor="text1"/>
          <w:szCs w:val="21"/>
          <w:u w:val="single"/>
        </w:rPr>
        <w:t xml:space="preserve">   </w:t>
      </w:r>
      <w:r>
        <w:rPr>
          <w:rFonts w:hint="eastAsia" w:ascii="宋体" w:hAnsi="宋体"/>
          <w:bCs/>
          <w:color w:val="000000" w:themeColor="text1"/>
          <w:szCs w:val="21"/>
        </w:rPr>
        <w:t>招标项目（项目编号:</w:t>
      </w:r>
      <w:r>
        <w:rPr>
          <w:rFonts w:hint="eastAsia" w:ascii="宋体" w:hAnsi="宋体" w:cs="宋体"/>
          <w:b/>
          <w:color w:val="000000" w:themeColor="text1"/>
          <w:szCs w:val="21"/>
          <w:u w:val="single"/>
        </w:rPr>
        <w:t xml:space="preserve">                </w:t>
      </w:r>
      <w:r>
        <w:rPr>
          <w:rFonts w:hint="eastAsia" w:ascii="宋体" w:hAnsi="宋体"/>
          <w:color w:val="000000" w:themeColor="text1"/>
          <w:szCs w:val="21"/>
          <w:u w:val="single"/>
        </w:rPr>
        <w:t xml:space="preserve">    </w:t>
      </w:r>
      <w:r>
        <w:rPr>
          <w:rFonts w:hint="eastAsia" w:ascii="宋体" w:hAnsi="宋体" w:cs="宋体"/>
          <w:b/>
          <w:color w:val="000000" w:themeColor="text1"/>
          <w:szCs w:val="21"/>
          <w:u w:val="single"/>
        </w:rPr>
        <w:t xml:space="preserve"> </w:t>
      </w:r>
      <w:r>
        <w:rPr>
          <w:rFonts w:hint="eastAsia" w:ascii="宋体" w:hAnsi="宋体"/>
          <w:bCs/>
          <w:color w:val="000000" w:themeColor="text1"/>
          <w:szCs w:val="21"/>
        </w:rPr>
        <w:t>）</w:t>
      </w:r>
      <w:r>
        <w:rPr>
          <w:rFonts w:hint="eastAsia" w:ascii="宋体" w:hAnsi="宋体"/>
          <w:bCs/>
          <w:color w:val="000000" w:themeColor="text1"/>
          <w:kern w:val="0"/>
          <w:szCs w:val="21"/>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代理人无转移委托权。</w:t>
      </w:r>
    </w:p>
    <w:p>
      <w:pPr>
        <w:spacing w:line="360" w:lineRule="auto"/>
        <w:ind w:firstLine="420" w:firstLineChars="200"/>
        <w:rPr>
          <w:rFonts w:ascii="宋体" w:hAnsi="宋体"/>
          <w:bCs/>
          <w:color w:val="000000" w:themeColor="text1"/>
          <w:kern w:val="0"/>
          <w:szCs w:val="21"/>
        </w:rPr>
      </w:pPr>
      <w:r>
        <w:rPr>
          <w:rFonts w:hint="eastAsia" w:ascii="宋体" w:hAnsi="宋体"/>
          <w:bCs/>
          <w:color w:val="000000" w:themeColor="text1"/>
          <w:kern w:val="0"/>
          <w:szCs w:val="21"/>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rPr>
      </w:pP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代理人：</w:t>
      </w:r>
      <w:r>
        <w:rPr>
          <w:rFonts w:hint="eastAsia" w:ascii="宋体" w:hAnsi="宋体"/>
          <w:bCs/>
          <w:color w:val="000000" w:themeColor="text1"/>
          <w:kern w:val="0"/>
          <w:szCs w:val="21"/>
          <w:u w:val="single"/>
        </w:rPr>
        <w:t xml:space="preserve">   </w:t>
      </w:r>
      <w:r>
        <w:rPr>
          <w:rFonts w:ascii="宋体" w:hAnsi="宋体"/>
          <w:bCs/>
          <w:color w:val="000000" w:themeColor="text1"/>
          <w:kern w:val="0"/>
          <w:szCs w:val="21"/>
          <w:u w:val="single"/>
        </w:rPr>
        <w:t xml:space="preserve"> </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性别：</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年龄：</w:t>
      </w:r>
      <w:r>
        <w:rPr>
          <w:rFonts w:hint="eastAsia" w:ascii="宋体" w:hAnsi="宋体"/>
          <w:bCs/>
          <w:color w:val="000000" w:themeColor="text1"/>
          <w:kern w:val="0"/>
          <w:szCs w:val="21"/>
          <w:u w:val="single"/>
        </w:rPr>
        <w:t xml:space="preserve">           </w:t>
      </w:r>
      <w:r>
        <w:rPr>
          <w:rFonts w:hint="eastAsia" w:ascii="宋体" w:hAnsi="宋体"/>
          <w:bCs/>
          <w:color w:val="000000" w:themeColor="text1"/>
          <w:kern w:val="0"/>
          <w:szCs w:val="21"/>
        </w:rPr>
        <w:t xml:space="preserve">   职务：</w:t>
      </w:r>
      <w:r>
        <w:rPr>
          <w:rFonts w:hint="eastAsia" w:ascii="宋体" w:hAnsi="宋体"/>
          <w:bCs/>
          <w:color w:val="000000" w:themeColor="text1"/>
          <w:kern w:val="0"/>
          <w:szCs w:val="21"/>
          <w:u w:val="single"/>
        </w:rPr>
        <w:t xml:space="preserve">           </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投标人：</w:t>
      </w:r>
      <w:r>
        <w:rPr>
          <w:rFonts w:hint="eastAsia" w:ascii="宋体" w:hAnsi="宋体"/>
          <w:bCs/>
          <w:color w:val="000000" w:themeColor="text1"/>
          <w:kern w:val="0"/>
          <w:szCs w:val="21"/>
          <w:u w:val="single"/>
        </w:rPr>
        <w:t xml:space="preserve">          （名称并加盖公章）                                         </w:t>
      </w:r>
    </w:p>
    <w:p>
      <w:pPr>
        <w:spacing w:line="360" w:lineRule="auto"/>
        <w:ind w:firstLine="420" w:firstLineChars="200"/>
        <w:rPr>
          <w:rFonts w:ascii="宋体" w:hAnsi="宋体"/>
          <w:bCs/>
          <w:color w:val="000000" w:themeColor="text1"/>
          <w:kern w:val="0"/>
          <w:szCs w:val="21"/>
          <w:u w:val="single"/>
        </w:rPr>
      </w:pPr>
      <w:r>
        <w:rPr>
          <w:rFonts w:hint="eastAsia" w:ascii="宋体" w:hAnsi="宋体"/>
          <w:bCs/>
          <w:color w:val="000000" w:themeColor="text1"/>
          <w:kern w:val="0"/>
          <w:szCs w:val="21"/>
        </w:rPr>
        <w:t>法定代表人（负责人）：</w:t>
      </w:r>
      <w:r>
        <w:rPr>
          <w:rFonts w:hint="eastAsia" w:ascii="宋体" w:hAnsi="宋体"/>
          <w:bCs/>
          <w:color w:val="000000" w:themeColor="text1"/>
          <w:kern w:val="0"/>
          <w:szCs w:val="21"/>
          <w:u w:val="single"/>
        </w:rPr>
        <w:t xml:space="preserve">    （签字或盖章）         </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签发日期：</w:t>
      </w:r>
      <w:r>
        <w:rPr>
          <w:rFonts w:hint="eastAsia" w:ascii="宋体" w:hAnsi="宋体"/>
          <w:color w:val="000000" w:themeColor="text1"/>
          <w:szCs w:val="21"/>
          <w:u w:val="single"/>
        </w:rPr>
        <w:t xml:space="preserve">                        </w:t>
      </w:r>
      <w:r>
        <w:rPr>
          <w:rFonts w:hint="eastAsia" w:ascii="宋体" w:hAnsi="宋体"/>
          <w:color w:val="000000" w:themeColor="text1"/>
          <w:szCs w:val="21"/>
        </w:rPr>
        <w:t xml:space="preserve">  有效日期至：</w:t>
      </w:r>
      <w:r>
        <w:rPr>
          <w:rFonts w:hint="eastAsia" w:ascii="宋体" w:hAnsi="宋体"/>
          <w:color w:val="000000" w:themeColor="text1"/>
          <w:szCs w:val="21"/>
          <w:u w:val="single"/>
        </w:rPr>
        <w:t xml:space="preserve">         </w:t>
      </w:r>
      <w:r>
        <w:rPr>
          <w:rFonts w:hint="eastAsia" w:ascii="宋体" w:hAnsi="宋体"/>
          <w:color w:val="000000" w:themeColor="text1"/>
          <w:szCs w:val="21"/>
        </w:rPr>
        <w:t>年</w:t>
      </w:r>
      <w:r>
        <w:rPr>
          <w:rFonts w:hint="eastAsia" w:ascii="宋体" w:hAnsi="宋体"/>
          <w:color w:val="000000" w:themeColor="text1"/>
          <w:szCs w:val="21"/>
          <w:u w:val="single"/>
        </w:rPr>
        <w:t xml:space="preserve">     </w:t>
      </w:r>
      <w:r>
        <w:rPr>
          <w:rFonts w:hint="eastAsia" w:ascii="宋体" w:hAnsi="宋体"/>
          <w:color w:val="000000" w:themeColor="text1"/>
          <w:szCs w:val="21"/>
        </w:rPr>
        <w:t>月</w:t>
      </w:r>
      <w:r>
        <w:rPr>
          <w:rFonts w:hint="eastAsia" w:ascii="宋体" w:hAnsi="宋体"/>
          <w:color w:val="000000" w:themeColor="text1"/>
          <w:szCs w:val="21"/>
          <w:u w:val="single"/>
        </w:rPr>
        <w:t xml:space="preserve">     </w:t>
      </w:r>
      <w:r>
        <w:rPr>
          <w:rFonts w:hint="eastAsia" w:ascii="宋体" w:hAnsi="宋体"/>
          <w:color w:val="000000" w:themeColor="text1"/>
          <w:szCs w:val="21"/>
        </w:rPr>
        <w:t>日</w:t>
      </w:r>
    </w:p>
    <w:p>
      <w:pPr>
        <w:autoSpaceDE w:val="0"/>
        <w:autoSpaceDN w:val="0"/>
        <w:adjustRightInd w:val="0"/>
        <w:snapToGrid w:val="0"/>
        <w:spacing w:line="360" w:lineRule="auto"/>
        <w:ind w:firstLine="630"/>
        <w:rPr>
          <w:rFonts w:ascii="宋体" w:hAnsi="宋体"/>
          <w:bCs/>
          <w:color w:val="000000" w:themeColor="text1"/>
          <w:kern w:val="0"/>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（注：投标人的投标文件为</w:t>
      </w:r>
      <w:r>
        <w:rPr>
          <w:rFonts w:hint="eastAsia" w:ascii="宋体" w:hAnsi="宋体" w:cs="宋体"/>
          <w:b/>
          <w:color w:val="000000" w:themeColor="text1"/>
          <w:szCs w:val="21"/>
        </w:rPr>
        <w:t>法定代表人（负责人）</w:t>
      </w:r>
      <w:r>
        <w:rPr>
          <w:rFonts w:hint="eastAsia" w:ascii="宋体" w:hAnsi="宋体"/>
          <w:b/>
          <w:color w:val="000000" w:themeColor="text1"/>
          <w:szCs w:val="21"/>
        </w:rPr>
        <w:t>签署并且由</w:t>
      </w:r>
      <w:r>
        <w:rPr>
          <w:rFonts w:hint="eastAsia" w:ascii="宋体" w:hAnsi="宋体" w:cs="宋体"/>
          <w:b/>
          <w:color w:val="000000" w:themeColor="text1"/>
          <w:szCs w:val="21"/>
        </w:rPr>
        <w:t>法定代表人（负责人）</w:t>
      </w:r>
      <w:r>
        <w:rPr>
          <w:rFonts w:hint="eastAsia" w:ascii="宋体" w:hAnsi="宋体"/>
          <w:b/>
          <w:color w:val="000000" w:themeColor="text1"/>
          <w:szCs w:val="21"/>
        </w:rPr>
        <w:t>亲自递交投标文件和参加开标会的，不须提供该委托书，但需提供法定代表人（负责人）证明书及法定代表人（负责人）的身份证复印件。）</w: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r>
        <w:rPr>
          <w:rFonts w:ascii="宋体" w:hAnsi="宋体"/>
          <w:color w:val="000000" w:themeColor="text1"/>
          <w:szCs w:val="21"/>
        </w:rPr>
        <w:pict>
          <v:shape id="自选图形 192" o:spid="_x0000_s1027" o:spt="176" type="#_x0000_t176" style="position:absolute;left:0pt;margin-left:99.75pt;margin-top:10.95pt;height:140.3pt;width:275.8pt;z-index:251659264;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nHnUIFoCAACmBAAADgAAAAAAAAABACAAAAAnAQAAZHJzL2Uyb0RvYy54bWxQSwUGAAAAAAYABgBZ&#10;AQAA8w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5"/>
        <w:numPr>
          <w:ilvl w:val="1"/>
          <w:numId w:val="0"/>
        </w:numPr>
        <w:ind w:firstLine="3373" w:firstLineChars="1200"/>
        <w:jc w:val="both"/>
        <w:rPr>
          <w:rFonts w:ascii="宋体" w:hAnsi="宋体"/>
          <w:color w:val="000000" w:themeColor="text1"/>
          <w:sz w:val="28"/>
          <w:szCs w:val="28"/>
        </w:rPr>
      </w:pPr>
      <w:bookmarkStart w:id="2177" w:name="_Toc469160795"/>
      <w:bookmarkStart w:id="2178" w:name="_Toc200414525"/>
      <w:bookmarkStart w:id="2179" w:name="_Toc83905599"/>
      <w:r>
        <w:rPr>
          <w:rFonts w:hint="eastAsia" w:ascii="宋体" w:hAnsi="宋体"/>
          <w:color w:val="000000" w:themeColor="text1"/>
          <w:sz w:val="28"/>
          <w:szCs w:val="28"/>
        </w:rPr>
        <w:t>附件一：投标函</w:t>
      </w:r>
      <w:bookmarkEnd w:id="2177"/>
      <w:bookmarkEnd w:id="2178"/>
      <w:bookmarkEnd w:id="2179"/>
    </w:p>
    <w:p>
      <w:pPr>
        <w:widowControl/>
        <w:jc w:val="left"/>
        <w:rPr>
          <w:rFonts w:ascii="宋体" w:hAnsi="宋体" w:cs="宋体"/>
          <w:color w:val="000000" w:themeColor="text1"/>
          <w:kern w:val="0"/>
          <w:szCs w:val="21"/>
          <w:u w:val="single"/>
        </w:rPr>
      </w:pPr>
      <w:r>
        <w:rPr>
          <w:rFonts w:ascii="宋体" w:hAnsi="宋体" w:cs="宋体"/>
          <w:color w:val="000000" w:themeColor="text1"/>
          <w:kern w:val="0"/>
          <w:szCs w:val="21"/>
          <w:u w:val="single"/>
        </w:rPr>
        <w:t>致（采购人</w:t>
      </w:r>
      <w:r>
        <w:rPr>
          <w:rFonts w:hint="eastAsia" w:ascii="宋体" w:hAnsi="宋体" w:cs="宋体"/>
          <w:color w:val="000000" w:themeColor="text1"/>
          <w:kern w:val="0"/>
          <w:szCs w:val="21"/>
          <w:u w:val="single"/>
        </w:rPr>
        <w:t>名称</w:t>
      </w:r>
      <w:r>
        <w:rPr>
          <w:rFonts w:ascii="宋体" w:hAnsi="宋体" w:cs="宋体"/>
          <w:color w:val="000000" w:themeColor="text1"/>
          <w:kern w:val="0"/>
          <w:szCs w:val="21"/>
          <w:u w:val="single"/>
        </w:rPr>
        <w:t>）</w:t>
      </w:r>
      <w:r>
        <w:rPr>
          <w:rFonts w:ascii="宋体" w:hAnsi="宋体" w:cs="宋体"/>
          <w:color w:val="000000" w:themeColor="text1"/>
          <w:kern w:val="0"/>
          <w:szCs w:val="21"/>
        </w:rPr>
        <w:t xml:space="preserve">： </w:t>
      </w:r>
    </w:p>
    <w:p>
      <w:pPr>
        <w:adjustRightInd w:val="0"/>
        <w:snapToGrid w:val="0"/>
        <w:spacing w:beforeLines="50" w:line="360" w:lineRule="auto"/>
        <w:ind w:firstLine="420"/>
        <w:rPr>
          <w:rFonts w:ascii="宋体" w:hAnsi="宋体"/>
          <w:bCs/>
          <w:color w:val="000000" w:themeColor="text1"/>
          <w:szCs w:val="21"/>
        </w:rPr>
      </w:pPr>
      <w:r>
        <w:rPr>
          <w:rFonts w:hint="eastAsia" w:ascii="宋体" w:hAnsi="宋体"/>
          <w:bCs/>
          <w:color w:val="000000" w:themeColor="text1"/>
          <w:szCs w:val="21"/>
        </w:rPr>
        <w:t>根据贵方就</w:t>
      </w:r>
      <w:r>
        <w:rPr>
          <w:rFonts w:hint="eastAsia" w:ascii="宋体" w:hAnsi="宋体"/>
          <w:bCs/>
          <w:color w:val="000000" w:themeColor="text1"/>
          <w:szCs w:val="21"/>
          <w:u w:val="single"/>
        </w:rPr>
        <w:t xml:space="preserve">      </w:t>
      </w:r>
      <w:r>
        <w:rPr>
          <w:rFonts w:hint="eastAsia" w:ascii="宋体" w:hAnsi="宋体" w:cs="宋体"/>
          <w:b/>
          <w:color w:val="000000" w:themeColor="text1"/>
          <w:szCs w:val="21"/>
          <w:u w:val="single"/>
        </w:rPr>
        <w:t xml:space="preserve">项目名称，由投标人填写      </w:t>
      </w:r>
      <w:r>
        <w:rPr>
          <w:rFonts w:hint="eastAsia" w:ascii="宋体" w:hAnsi="宋体"/>
          <w:bCs/>
          <w:color w:val="000000" w:themeColor="text1"/>
          <w:szCs w:val="21"/>
        </w:rPr>
        <w:t>的投标邀请（项目编号：</w:t>
      </w:r>
      <w:r>
        <w:rPr>
          <w:rFonts w:hint="eastAsia" w:ascii="宋体" w:hAnsi="宋体"/>
          <w:b/>
          <w:bCs/>
          <w:color w:val="000000" w:themeColor="text1"/>
          <w:szCs w:val="21"/>
        </w:rPr>
        <w:t xml:space="preserve"> </w:t>
      </w:r>
      <w:r>
        <w:rPr>
          <w:rFonts w:hint="eastAsia" w:ascii="宋体" w:hAnsi="宋体"/>
          <w:b/>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，我方正式响应投标文件内容并提交投标文件</w:t>
      </w:r>
      <w:r>
        <w:rPr>
          <w:rFonts w:hint="eastAsia" w:ascii="宋体" w:hAnsi="宋体"/>
          <w:b/>
          <w:bCs/>
          <w:color w:val="000000" w:themeColor="text1"/>
          <w:szCs w:val="21"/>
          <w:u w:val="single"/>
        </w:rPr>
        <w:t>1份正本</w:t>
      </w:r>
      <w:r>
        <w:rPr>
          <w:rFonts w:hint="eastAsia" w:ascii="宋体" w:hAnsi="宋体"/>
          <w:b/>
          <w:bCs/>
          <w:color w:val="000000" w:themeColor="text1"/>
          <w:szCs w:val="21"/>
        </w:rPr>
        <w:t>和</w:t>
      </w:r>
      <w:r>
        <w:rPr>
          <w:rFonts w:hint="eastAsia" w:ascii="宋体" w:hAnsi="宋体"/>
          <w:b/>
          <w:bCs/>
          <w:color w:val="000000" w:themeColor="text1"/>
          <w:szCs w:val="21"/>
          <w:u w:val="single"/>
          <w:lang w:val="en-US" w:eastAsia="zh-CN"/>
        </w:rPr>
        <w:t>2</w:t>
      </w:r>
      <w:r>
        <w:rPr>
          <w:rFonts w:hint="eastAsia" w:ascii="宋体" w:hAnsi="宋体"/>
          <w:b/>
          <w:bCs/>
          <w:color w:val="000000" w:themeColor="text1"/>
          <w:szCs w:val="21"/>
          <w:u w:val="single"/>
        </w:rPr>
        <w:t>份副本</w:t>
      </w:r>
      <w:r>
        <w:rPr>
          <w:rFonts w:hint="eastAsia" w:ascii="宋体" w:hAnsi="宋体"/>
          <w:bCs/>
          <w:color w:val="000000" w:themeColor="text1"/>
          <w:szCs w:val="21"/>
        </w:rPr>
        <w:t>：</w:t>
      </w:r>
    </w:p>
    <w:p>
      <w:pPr>
        <w:widowControl/>
        <w:numPr>
          <w:ilvl w:val="0"/>
          <w:numId w:val="39"/>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投标函；</w:t>
      </w:r>
      <w:bookmarkStart w:id="2214" w:name="_GoBack"/>
      <w:bookmarkEnd w:id="2214"/>
    </w:p>
    <w:p>
      <w:pPr>
        <w:widowControl/>
        <w:numPr>
          <w:ilvl w:val="0"/>
          <w:numId w:val="39"/>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开标一览表；</w:t>
      </w:r>
    </w:p>
    <w:p>
      <w:pPr>
        <w:widowControl/>
        <w:numPr>
          <w:ilvl w:val="0"/>
          <w:numId w:val="39"/>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投标分项报价表；</w:t>
      </w:r>
    </w:p>
    <w:p>
      <w:pPr>
        <w:widowControl/>
        <w:numPr>
          <w:ilvl w:val="0"/>
          <w:numId w:val="39"/>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商务条款偏离一览表；</w:t>
      </w:r>
    </w:p>
    <w:p>
      <w:pPr>
        <w:widowControl/>
        <w:numPr>
          <w:ilvl w:val="0"/>
          <w:numId w:val="39"/>
        </w:numPr>
        <w:tabs>
          <w:tab w:val="left" w:pos="840"/>
        </w:tabs>
        <w:adjustRightInd w:val="0"/>
        <w:snapToGrid w:val="0"/>
        <w:spacing w:line="380" w:lineRule="exact"/>
        <w:ind w:left="840" w:hanging="420"/>
        <w:rPr>
          <w:rFonts w:ascii="宋体" w:hAnsi="宋体"/>
          <w:bCs/>
          <w:color w:val="000000"/>
        </w:rPr>
      </w:pPr>
      <w:r>
        <w:rPr>
          <w:rFonts w:hint="eastAsia"/>
          <w:color w:val="000000"/>
        </w:rPr>
        <w:t>技术条款偏离一览表</w:t>
      </w:r>
    </w:p>
    <w:p>
      <w:pPr>
        <w:widowControl/>
        <w:numPr>
          <w:ilvl w:val="0"/>
          <w:numId w:val="39"/>
        </w:numPr>
        <w:tabs>
          <w:tab w:val="left" w:pos="840"/>
        </w:tabs>
        <w:adjustRightInd w:val="0"/>
        <w:snapToGrid w:val="0"/>
        <w:spacing w:line="380" w:lineRule="exact"/>
        <w:ind w:left="840" w:hanging="420"/>
        <w:rPr>
          <w:color w:val="000000"/>
        </w:rPr>
      </w:pPr>
      <w:r>
        <w:rPr>
          <w:rFonts w:hint="eastAsia"/>
          <w:color w:val="000000"/>
        </w:rPr>
        <w:t>售后服务方案；</w:t>
      </w:r>
    </w:p>
    <w:p>
      <w:pPr>
        <w:widowControl/>
        <w:numPr>
          <w:ilvl w:val="0"/>
          <w:numId w:val="39"/>
        </w:numPr>
        <w:tabs>
          <w:tab w:val="left" w:pos="840"/>
        </w:tabs>
        <w:adjustRightInd w:val="0"/>
        <w:snapToGrid w:val="0"/>
        <w:spacing w:line="380" w:lineRule="exact"/>
        <w:ind w:left="840" w:hanging="420"/>
        <w:rPr>
          <w:color w:val="000000"/>
        </w:rPr>
      </w:pPr>
      <w:r>
        <w:rPr>
          <w:rFonts w:hint="eastAsia"/>
          <w:color w:val="000000"/>
        </w:rPr>
        <w:t>中小微企业声明函；</w:t>
      </w:r>
    </w:p>
    <w:p>
      <w:pPr>
        <w:widowControl/>
        <w:numPr>
          <w:ilvl w:val="0"/>
          <w:numId w:val="39"/>
        </w:numPr>
        <w:tabs>
          <w:tab w:val="left" w:pos="840"/>
        </w:tabs>
        <w:adjustRightInd w:val="0"/>
        <w:snapToGrid w:val="0"/>
        <w:spacing w:line="380" w:lineRule="exact"/>
        <w:ind w:left="840" w:hanging="420"/>
        <w:rPr>
          <w:color w:val="000000"/>
        </w:rPr>
      </w:pPr>
      <w:r>
        <w:rPr>
          <w:rFonts w:hint="eastAsia"/>
          <w:color w:val="000000"/>
        </w:rPr>
        <w:t>业绩一览表；</w:t>
      </w:r>
    </w:p>
    <w:p>
      <w:pPr>
        <w:widowControl/>
        <w:numPr>
          <w:ilvl w:val="0"/>
          <w:numId w:val="39"/>
        </w:numPr>
        <w:tabs>
          <w:tab w:val="left" w:pos="840"/>
        </w:tabs>
        <w:adjustRightInd w:val="0"/>
        <w:snapToGrid w:val="0"/>
        <w:spacing w:line="380" w:lineRule="exact"/>
        <w:ind w:left="840" w:hanging="420"/>
        <w:rPr>
          <w:rFonts w:ascii="宋体" w:hAnsi="宋体"/>
          <w:bCs/>
          <w:color w:val="000000"/>
        </w:rPr>
      </w:pPr>
      <w:r>
        <w:rPr>
          <w:rFonts w:hint="eastAsia"/>
          <w:color w:val="000000"/>
        </w:rPr>
        <w:t>供应商</w:t>
      </w:r>
      <w:r>
        <w:rPr>
          <w:rFonts w:hint="eastAsia" w:ascii="宋体" w:hAnsi="宋体"/>
          <w:bCs/>
          <w:color w:val="000000"/>
        </w:rPr>
        <w:t>提交的其它商务和技术资料。</w:t>
      </w:r>
    </w:p>
    <w:p>
      <w:pPr>
        <w:pStyle w:val="61"/>
        <w:ind w:firstLine="400"/>
      </w:pPr>
    </w:p>
    <w:p>
      <w:pPr>
        <w:widowControl/>
        <w:tabs>
          <w:tab w:val="left" w:pos="502"/>
        </w:tabs>
        <w:adjustRightInd w:val="0"/>
        <w:snapToGrid w:val="0"/>
        <w:spacing w:line="360" w:lineRule="auto"/>
        <w:ind w:left="374" w:leftChars="178" w:firstLine="420" w:firstLineChars="200"/>
        <w:rPr>
          <w:rFonts w:ascii="宋体" w:hAnsi="宋体"/>
          <w:color w:val="000000" w:themeColor="text1"/>
          <w:szCs w:val="21"/>
        </w:rPr>
      </w:pPr>
      <w:r>
        <w:rPr>
          <w:rFonts w:hint="eastAsia" w:ascii="宋体" w:hAnsi="宋体"/>
          <w:bCs/>
          <w:color w:val="000000" w:themeColor="text1"/>
          <w:szCs w:val="21"/>
        </w:rPr>
        <w:t>以</w:t>
      </w:r>
      <w:r>
        <w:rPr>
          <w:rFonts w:hint="eastAsia" w:ascii="宋体" w:hAnsi="宋体"/>
          <w:bCs/>
          <w:color w:val="000000" w:themeColor="text1"/>
          <w:szCs w:val="21"/>
          <w:u w:val="single"/>
        </w:rPr>
        <w:t xml:space="preserve">        </w:t>
      </w:r>
      <w:r>
        <w:rPr>
          <w:rFonts w:hint="eastAsia" w:ascii="宋体" w:hAnsi="宋体"/>
          <w:bCs/>
          <w:color w:val="000000" w:themeColor="text1"/>
          <w:szCs w:val="21"/>
        </w:rPr>
        <w:t>形式提交的投标保证金，金额为大写</w:t>
      </w:r>
      <w:r>
        <w:rPr>
          <w:rFonts w:hint="eastAsia" w:ascii="宋体" w:hAnsi="宋体"/>
          <w:color w:val="000000" w:themeColor="text1"/>
          <w:szCs w:val="21"/>
        </w:rPr>
        <w:t>人民币</w:t>
      </w:r>
      <w:r>
        <w:rPr>
          <w:rFonts w:hint="eastAsia" w:ascii="宋体" w:hAnsi="宋体"/>
          <w:color w:val="000000" w:themeColor="text1"/>
          <w:szCs w:val="21"/>
          <w:u w:val="single"/>
        </w:rPr>
        <w:t xml:space="preserve">                 </w:t>
      </w:r>
      <w:r>
        <w:rPr>
          <w:rFonts w:hint="eastAsia" w:ascii="宋体" w:hAnsi="宋体"/>
          <w:color w:val="000000" w:themeColor="text1"/>
          <w:szCs w:val="21"/>
        </w:rPr>
        <w:t>（</w:t>
      </w:r>
      <w:r>
        <w:rPr>
          <w:rFonts w:hint="eastAsia" w:ascii="宋体" w:hAnsi="宋体"/>
          <w:bCs/>
          <w:color w:val="000000" w:themeColor="text1"/>
          <w:szCs w:val="21"/>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rPr>
      </w:pPr>
      <w:r>
        <w:rPr>
          <w:rFonts w:hint="eastAsia" w:ascii="宋体" w:hAnsi="宋体"/>
          <w:bCs/>
          <w:color w:val="000000" w:themeColor="text1"/>
          <w:szCs w:val="21"/>
        </w:rPr>
        <w:t>据此函，签字代表宣布同意如下：</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color w:val="000000" w:themeColor="text1"/>
          <w:szCs w:val="21"/>
        </w:rPr>
        <w:t>所附投标价格表中规定的应提交和交付的货物投标总价为人民币：</w:t>
      </w:r>
      <w:r>
        <w:rPr>
          <w:rFonts w:hint="eastAsia" w:ascii="宋体" w:hAnsi="宋体"/>
          <w:color w:val="000000" w:themeColor="text1"/>
          <w:szCs w:val="21"/>
          <w:u w:val="single"/>
        </w:rPr>
        <w:t xml:space="preserve"> （用文字和数字表示的投标总价）  </w:t>
      </w:r>
      <w:r>
        <w:rPr>
          <w:rFonts w:hint="eastAsia" w:ascii="宋体" w:hAnsi="宋体"/>
          <w:color w:val="000000" w:themeColor="text1"/>
          <w:szCs w:val="21"/>
        </w:rPr>
        <w:t>。</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本次投标所报内容完全按照投标文件要求填报，所有内容都是真实、准确的。</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供应商将按投标文件的规定履行全部合同责任和义务。</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供应商已详细审查全部投标文件，包括修改文件（如有的话）以及全部参考资料和有关附件。我们完全理解并同意放弃对这方面有不明及误解的权利。</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本次投标自递交投标文件截止之日起有效期为90天。</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如果在规定的递交投标文件截止之日后，供应商在投标有效期内撤回投标，投标保证金将被贵方没收。</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供应商同意提供按照贵方可能要求与其投标有关的一切数据或资料，完全理解贵方不一定接受最低价的投标或收到的任何投标。</w:t>
      </w:r>
    </w:p>
    <w:p>
      <w:pPr>
        <w:widowControl/>
        <w:numPr>
          <w:ilvl w:val="0"/>
          <w:numId w:val="40"/>
        </w:numPr>
        <w:tabs>
          <w:tab w:val="left" w:pos="840"/>
        </w:tabs>
        <w:adjustRightInd w:val="0"/>
        <w:snapToGrid w:val="0"/>
        <w:spacing w:line="360" w:lineRule="auto"/>
        <w:ind w:left="840" w:hanging="420"/>
        <w:rPr>
          <w:rFonts w:ascii="宋体" w:hAnsi="宋体"/>
          <w:bCs/>
          <w:color w:val="000000" w:themeColor="text1"/>
          <w:szCs w:val="21"/>
        </w:rPr>
      </w:pPr>
      <w:r>
        <w:rPr>
          <w:rFonts w:hint="eastAsia" w:ascii="宋体" w:hAnsi="宋体"/>
          <w:bCs/>
          <w:color w:val="000000" w:themeColor="text1"/>
          <w:szCs w:val="21"/>
        </w:rPr>
        <w:t>与本投标有关的一切正式往来通讯请寄至投标文件封面指定地址、联系方式。</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投标人法定代表人（负责人）或授权代理人（签字）：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投标人名称（加盖公章）：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r>
        <w:rPr>
          <w:rFonts w:ascii="宋体" w:hAnsi="宋体"/>
          <w:bCs/>
          <w:color w:val="000000" w:themeColor="text1"/>
          <w:szCs w:val="21"/>
        </w:rPr>
        <w:t xml:space="preserve">   </w:t>
      </w:r>
    </w:p>
    <w:p>
      <w:pPr>
        <w:pStyle w:val="26"/>
        <w:spacing w:line="360" w:lineRule="auto"/>
        <w:rPr>
          <w:rFonts w:hAnsi="宋体"/>
          <w:color w:val="000000" w:themeColor="text1"/>
        </w:rPr>
      </w:pPr>
      <w:r>
        <w:rPr>
          <w:rFonts w:hint="eastAsia" w:hAnsi="宋体"/>
          <w:color w:val="000000" w:themeColor="text1"/>
        </w:rPr>
        <w:t>注：本投标邀请函为供应商响应本次投标项目的郑重承诺，供应商不得改动且必须满足。</w:t>
      </w:r>
    </w:p>
    <w:p>
      <w:pPr>
        <w:pStyle w:val="5"/>
        <w:numPr>
          <w:ilvl w:val="1"/>
          <w:numId w:val="0"/>
        </w:numPr>
        <w:spacing w:line="360" w:lineRule="auto"/>
        <w:rPr>
          <w:rFonts w:ascii="宋体" w:hAnsi="宋体"/>
          <w:color w:val="000000" w:themeColor="text1"/>
          <w:sz w:val="28"/>
          <w:szCs w:val="28"/>
        </w:rPr>
      </w:pPr>
      <w:bookmarkStart w:id="2180" w:name="_Toc200414526"/>
      <w:bookmarkStart w:id="2181" w:name="_Toc83905600"/>
      <w:bookmarkStart w:id="2182" w:name="_Toc469160796"/>
      <w:r>
        <w:rPr>
          <w:rFonts w:hint="eastAsia" w:ascii="宋体" w:hAnsi="宋体"/>
          <w:color w:val="000000" w:themeColor="text1"/>
          <w:sz w:val="28"/>
          <w:szCs w:val="28"/>
        </w:rPr>
        <w:t>附件二：开标一览表</w:t>
      </w:r>
      <w:bookmarkEnd w:id="2180"/>
      <w:bookmarkEnd w:id="2181"/>
      <w:bookmarkEnd w:id="2182"/>
    </w:p>
    <w:p>
      <w:pPr>
        <w:adjustRightInd w:val="0"/>
        <w:snapToGrid w:val="0"/>
        <w:spacing w:line="360" w:lineRule="auto"/>
        <w:jc w:val="left"/>
        <w:rPr>
          <w:rFonts w:hint="eastAsia" w:ascii="宋体" w:hAnsi="宋体" w:eastAsia="宋体"/>
          <w:b/>
          <w:bCs/>
          <w:caps/>
          <w:color w:val="000000" w:themeColor="text1"/>
          <w:szCs w:val="21"/>
          <w:u w:val="single"/>
          <w:lang w:eastAsia="zh-CN"/>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YJFY20250717</w:t>
      </w:r>
    </w:p>
    <w:p>
      <w:pPr>
        <w:adjustRightInd w:val="0"/>
        <w:snapToGrid w:val="0"/>
        <w:spacing w:line="360" w:lineRule="auto"/>
        <w:jc w:val="left"/>
        <w:rPr>
          <w:rFonts w:ascii="宋体" w:hAnsi="宋体"/>
          <w:bCs/>
          <w:color w:val="000000" w:themeColor="text1"/>
          <w:szCs w:val="21"/>
          <w:u w:val="single"/>
        </w:rPr>
      </w:pPr>
      <w:r>
        <w:rPr>
          <w:rFonts w:hint="eastAsia" w:ascii="宋体" w:hAnsi="宋体"/>
          <w:color w:val="000000" w:themeColor="text1"/>
          <w:szCs w:val="21"/>
        </w:rPr>
        <w:t>项目名称：</w:t>
      </w:r>
      <w:r>
        <w:rPr>
          <w:rFonts w:hint="eastAsia" w:ascii="宋体" w:hAnsi="宋体" w:eastAsia="宋体" w:cs="Times New Roman"/>
          <w:b/>
          <w:bCs/>
          <w:color w:val="000000" w:themeColor="text1"/>
          <w:szCs w:val="21"/>
          <w:u w:val="single"/>
          <w:lang w:eastAsia="zh-CN"/>
        </w:rPr>
        <w:t xml:space="preserve">阳江市妇幼保健院一期特殊科室（手术室、NICU、产房、检验科PCR实验室、妇科门诊手术室）洁净区域维保服务采购项目 </w:t>
      </w:r>
      <w:r>
        <w:rPr>
          <w:rFonts w:hint="eastAsia" w:ascii="宋体" w:hAnsi="宋体"/>
          <w:color w:val="000000" w:themeColor="text1"/>
          <w:spacing w:val="10"/>
          <w:szCs w:val="21"/>
        </w:rPr>
        <w:t xml:space="preserve"> </w:t>
      </w:r>
    </w:p>
    <w:p>
      <w:pPr>
        <w:tabs>
          <w:tab w:val="center" w:pos="4483"/>
        </w:tabs>
        <w:spacing w:line="360" w:lineRule="auto"/>
        <w:rPr>
          <w:rFonts w:ascii="宋体" w:hAnsi="宋体"/>
          <w:bCs/>
          <w:color w:val="000000" w:themeColor="text1"/>
          <w:szCs w:val="21"/>
          <w:u w:val="single"/>
        </w:rPr>
      </w:pPr>
    </w:p>
    <w:tbl>
      <w:tblPr>
        <w:tblStyle w:val="52"/>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42"/>
        <w:gridCol w:w="3308"/>
        <w:gridCol w:w="190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35" w:type="dxa"/>
            <w:vAlign w:val="center"/>
          </w:tcPr>
          <w:p>
            <w:pPr>
              <w:spacing w:line="360" w:lineRule="auto"/>
              <w:jc w:val="center"/>
              <w:rPr>
                <w:rFonts w:ascii="宋体" w:hAnsi="宋体"/>
                <w:bCs/>
                <w:color w:val="000000" w:themeColor="text1"/>
                <w:szCs w:val="21"/>
              </w:rPr>
            </w:pPr>
            <w:r>
              <w:rPr>
                <w:rFonts w:hint="eastAsia" w:ascii="宋体" w:hAnsi="宋体"/>
                <w:bCs/>
                <w:color w:val="000000"/>
              </w:rPr>
              <w:t>项目编号</w:t>
            </w:r>
          </w:p>
        </w:tc>
        <w:tc>
          <w:tcPr>
            <w:tcW w:w="1942"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项目名称</w:t>
            </w:r>
          </w:p>
        </w:tc>
        <w:tc>
          <w:tcPr>
            <w:tcW w:w="3308"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报价（元）</w:t>
            </w:r>
          </w:p>
        </w:tc>
        <w:tc>
          <w:tcPr>
            <w:tcW w:w="1906"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完工期</w:t>
            </w:r>
          </w:p>
        </w:tc>
        <w:tc>
          <w:tcPr>
            <w:tcW w:w="1476" w:type="dxa"/>
            <w:vAlign w:val="center"/>
          </w:tcPr>
          <w:p>
            <w:pPr>
              <w:spacing w:line="360" w:lineRule="auto"/>
              <w:jc w:val="center"/>
              <w:rPr>
                <w:rFonts w:ascii="宋体" w:hAnsi="宋体"/>
                <w:bCs/>
                <w:color w:val="000000" w:themeColor="text1"/>
                <w:szCs w:val="21"/>
              </w:rPr>
            </w:pPr>
            <w:r>
              <w:rPr>
                <w:rFonts w:hint="eastAsia" w:ascii="宋体" w:hAnsi="宋体"/>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635" w:type="dxa"/>
            <w:vAlign w:val="center"/>
          </w:tcPr>
          <w:p>
            <w:pPr>
              <w:spacing w:line="360" w:lineRule="auto"/>
              <w:jc w:val="center"/>
              <w:rPr>
                <w:rFonts w:ascii="宋体" w:hAnsi="宋体"/>
                <w:bCs/>
                <w:color w:val="000000" w:themeColor="text1"/>
              </w:rPr>
            </w:pPr>
          </w:p>
        </w:tc>
        <w:tc>
          <w:tcPr>
            <w:tcW w:w="1942" w:type="dxa"/>
            <w:vAlign w:val="center"/>
          </w:tcPr>
          <w:p>
            <w:pPr>
              <w:spacing w:line="360" w:lineRule="auto"/>
              <w:jc w:val="center"/>
              <w:rPr>
                <w:rFonts w:ascii="宋体" w:hAnsi="宋体"/>
                <w:bCs/>
                <w:color w:val="000000" w:themeColor="text1"/>
              </w:rPr>
            </w:pPr>
          </w:p>
        </w:tc>
        <w:tc>
          <w:tcPr>
            <w:tcW w:w="3308" w:type="dxa"/>
            <w:vAlign w:val="center"/>
          </w:tcPr>
          <w:p>
            <w:pPr>
              <w:spacing w:line="360" w:lineRule="auto"/>
              <w:rPr>
                <w:rFonts w:ascii="宋体" w:hAnsi="宋体"/>
                <w:bCs/>
                <w:color w:val="000000" w:themeColor="text1"/>
              </w:rPr>
            </w:pPr>
            <w:r>
              <w:rPr>
                <w:rFonts w:hint="eastAsia" w:ascii="宋体" w:hAnsi="宋体"/>
                <w:bCs/>
                <w:color w:val="000000" w:themeColor="text1"/>
              </w:rPr>
              <w:t>大写：人民币</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spacing w:line="360" w:lineRule="auto"/>
              <w:rPr>
                <w:rFonts w:ascii="宋体" w:hAnsi="宋体"/>
                <w:bCs/>
                <w:color w:val="000000" w:themeColor="text1"/>
              </w:rPr>
            </w:pPr>
          </w:p>
          <w:p>
            <w:pPr>
              <w:spacing w:line="360" w:lineRule="auto"/>
              <w:rPr>
                <w:rFonts w:ascii="宋体" w:hAnsi="宋体"/>
                <w:bCs/>
                <w:color w:val="000000" w:themeColor="text1"/>
              </w:rPr>
            </w:pPr>
            <w:r>
              <w:rPr>
                <w:rFonts w:hint="eastAsia" w:ascii="宋体" w:hAnsi="宋体"/>
                <w:bCs/>
                <w:color w:val="000000" w:themeColor="text1"/>
              </w:rPr>
              <w:t xml:space="preserve">小写：¥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spacing w:line="360" w:lineRule="auto"/>
              <w:rPr>
                <w:rFonts w:ascii="宋体" w:hAnsi="宋体"/>
                <w:bCs/>
                <w:color w:val="000000" w:themeColor="text1"/>
              </w:rPr>
            </w:pPr>
          </w:p>
        </w:tc>
        <w:tc>
          <w:tcPr>
            <w:tcW w:w="1906" w:type="dxa"/>
            <w:vAlign w:val="center"/>
          </w:tcPr>
          <w:p>
            <w:pPr>
              <w:spacing w:line="360" w:lineRule="auto"/>
              <w:jc w:val="center"/>
              <w:rPr>
                <w:rFonts w:ascii="宋体" w:hAnsi="宋体"/>
                <w:bCs/>
                <w:color w:val="000000" w:themeColor="text1"/>
                <w:u w:val="single"/>
              </w:rPr>
            </w:pPr>
          </w:p>
        </w:tc>
        <w:tc>
          <w:tcPr>
            <w:tcW w:w="1476" w:type="dxa"/>
            <w:vAlign w:val="center"/>
          </w:tcPr>
          <w:p>
            <w:pPr>
              <w:spacing w:line="360" w:lineRule="auto"/>
              <w:rPr>
                <w:rFonts w:ascii="宋体" w:hAnsi="宋体"/>
                <w:bCs/>
                <w:color w:val="000000" w:themeColor="text1"/>
                <w:szCs w:val="21"/>
              </w:rPr>
            </w:pPr>
          </w:p>
        </w:tc>
      </w:tr>
    </w:tbl>
    <w:p>
      <w:pPr>
        <w:spacing w:line="360" w:lineRule="auto"/>
        <w:rPr>
          <w:rFonts w:ascii="宋体" w:hAnsi="宋体"/>
          <w:bCs/>
          <w:color w:val="000000" w:themeColor="text1"/>
          <w:u w:val="single"/>
        </w:rPr>
      </w:pPr>
    </w:p>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1"/>
        </w:numPr>
        <w:spacing w:line="360" w:lineRule="auto"/>
        <w:rPr>
          <w:rFonts w:ascii="宋体" w:hAnsi="宋体"/>
          <w:bCs/>
          <w:color w:val="000000"/>
        </w:rPr>
      </w:pPr>
      <w:r>
        <w:rPr>
          <w:rFonts w:hint="eastAsia" w:ascii="宋体" w:hAnsi="宋体"/>
          <w:color w:val="000000"/>
        </w:rPr>
        <w:t>投标人填写此表时不得改变表格的形式。</w:t>
      </w:r>
    </w:p>
    <w:p>
      <w:pPr>
        <w:numPr>
          <w:ilvl w:val="0"/>
          <w:numId w:val="41"/>
        </w:numPr>
        <w:spacing w:line="360" w:lineRule="auto"/>
        <w:rPr>
          <w:rFonts w:ascii="宋体" w:hAnsi="宋体"/>
          <w:bCs/>
          <w:color w:val="000000"/>
        </w:rPr>
      </w:pPr>
      <w:r>
        <w:rPr>
          <w:rFonts w:hint="eastAsia" w:ascii="宋体" w:hAnsi="宋体"/>
          <w:bCs/>
          <w:color w:val="000000"/>
        </w:rPr>
        <w:t>如果投标人认为有应当说明而本表中无相应栏目的内容，请在“备注”栏中添加说明。</w:t>
      </w:r>
    </w:p>
    <w:p>
      <w:pPr>
        <w:numPr>
          <w:ilvl w:val="0"/>
          <w:numId w:val="41"/>
        </w:numPr>
        <w:spacing w:line="360" w:lineRule="auto"/>
        <w:rPr>
          <w:rFonts w:ascii="宋体" w:hAnsi="宋体"/>
          <w:bCs/>
          <w:color w:val="000000"/>
        </w:rPr>
      </w:pPr>
      <w:r>
        <w:rPr>
          <w:rFonts w:hint="eastAsia" w:ascii="宋体" w:hAnsi="宋体"/>
          <w:bCs/>
          <w:color w:val="000000"/>
        </w:rPr>
        <w:t>投标人应将 “开标一览表”（加盖公章并由法定代表人（负责人）或其授权代理人签字），一份单独密封于一信封内，一份装订入投标文件正本。</w:t>
      </w:r>
    </w:p>
    <w:p>
      <w:pPr>
        <w:tabs>
          <w:tab w:val="left" w:pos="845"/>
        </w:tabs>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投标人法定代表人（负责人）或授权代理人（签字）： </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投标人名称（加盖公章）：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r>
        <w:rPr>
          <w:rFonts w:ascii="宋体" w:hAnsi="宋体"/>
          <w:bCs/>
          <w:color w:val="000000" w:themeColor="text1"/>
          <w:szCs w:val="21"/>
        </w:rPr>
        <w:t xml:space="preserve"> </w:t>
      </w:r>
    </w:p>
    <w:p>
      <w:pPr>
        <w:widowControl/>
        <w:adjustRightInd w:val="0"/>
        <w:snapToGrid w:val="0"/>
        <w:spacing w:line="360" w:lineRule="auto"/>
        <w:rPr>
          <w:rFonts w:ascii="宋体" w:hAnsi="宋体"/>
          <w:bCs/>
          <w:color w:val="000000" w:themeColor="text1"/>
          <w:u w:val="single"/>
        </w:rPr>
      </w:pPr>
    </w:p>
    <w:p>
      <w:pPr>
        <w:pStyle w:val="26"/>
        <w:spacing w:line="360" w:lineRule="auto"/>
        <w:rPr>
          <w:rFonts w:hAnsi="宋体"/>
          <w:color w:val="000000" w:themeColor="text1"/>
        </w:rPr>
      </w:pPr>
    </w:p>
    <w:p>
      <w:pPr>
        <w:pStyle w:val="26"/>
        <w:spacing w:line="360" w:lineRule="auto"/>
        <w:rPr>
          <w:rFonts w:hAnsi="宋体"/>
          <w:color w:val="000000" w:themeColor="text1"/>
        </w:rPr>
      </w:pPr>
    </w:p>
    <w:p>
      <w:pPr>
        <w:pStyle w:val="26"/>
        <w:spacing w:line="360" w:lineRule="auto"/>
        <w:rPr>
          <w:rFonts w:hAnsi="宋体"/>
          <w:color w:val="000000" w:themeColor="text1"/>
        </w:rPr>
      </w:pPr>
    </w:p>
    <w:p>
      <w:pPr>
        <w:pStyle w:val="26"/>
        <w:spacing w:line="360" w:lineRule="auto"/>
        <w:rPr>
          <w:rFonts w:hAnsi="宋体"/>
          <w:color w:val="000000" w:themeColor="text1"/>
        </w:rPr>
      </w:pPr>
    </w:p>
    <w:p>
      <w:pPr>
        <w:pStyle w:val="26"/>
        <w:spacing w:line="360" w:lineRule="auto"/>
        <w:rPr>
          <w:rFonts w:hAnsi="宋体"/>
          <w:color w:val="000000" w:themeColor="text1"/>
        </w:rPr>
        <w:sectPr>
          <w:headerReference r:id="rId11" w:type="default"/>
          <w:footerReference r:id="rId12" w:type="default"/>
          <w:pgSz w:w="11906" w:h="16838"/>
          <w:pgMar w:top="1418" w:right="1474" w:bottom="1418" w:left="1474" w:header="851" w:footer="851" w:gutter="0"/>
          <w:cols w:space="720" w:num="1"/>
          <w:titlePg/>
          <w:docGrid w:linePitch="462" w:charSpace="0"/>
        </w:sectPr>
      </w:pPr>
    </w:p>
    <w:p>
      <w:pPr>
        <w:pStyle w:val="5"/>
        <w:numPr>
          <w:ilvl w:val="1"/>
          <w:numId w:val="0"/>
        </w:numPr>
        <w:spacing w:line="360" w:lineRule="auto"/>
        <w:rPr>
          <w:rFonts w:ascii="宋体" w:hAnsi="宋体"/>
          <w:color w:val="000000" w:themeColor="text1"/>
          <w:sz w:val="28"/>
          <w:szCs w:val="28"/>
        </w:rPr>
      </w:pPr>
      <w:bookmarkStart w:id="2183" w:name="_Toc83905601"/>
      <w:bookmarkStart w:id="2184" w:name="_Toc469160797"/>
      <w:bookmarkStart w:id="2185" w:name="_Toc200414527"/>
      <w:r>
        <w:rPr>
          <w:rFonts w:hint="eastAsia" w:ascii="宋体" w:hAnsi="宋体"/>
          <w:color w:val="000000" w:themeColor="text1"/>
          <w:sz w:val="28"/>
          <w:szCs w:val="28"/>
        </w:rPr>
        <w:t>附件三：投标分项报价</w:t>
      </w:r>
      <w:r>
        <w:rPr>
          <w:rFonts w:ascii="宋体" w:hAnsi="宋体"/>
          <w:color w:val="000000" w:themeColor="text1"/>
          <w:sz w:val="28"/>
          <w:szCs w:val="28"/>
        </w:rPr>
        <w:t>表</w:t>
      </w:r>
      <w:bookmarkEnd w:id="2183"/>
      <w:bookmarkEnd w:id="2184"/>
      <w:bookmarkEnd w:id="2185"/>
    </w:p>
    <w:p>
      <w:pPr>
        <w:adjustRightInd w:val="0"/>
        <w:snapToGrid w:val="0"/>
        <w:spacing w:line="360" w:lineRule="auto"/>
        <w:jc w:val="left"/>
        <w:rPr>
          <w:color w:val="000000"/>
          <w:szCs w:val="18"/>
        </w:rPr>
      </w:pPr>
      <w:r>
        <w:rPr>
          <w:rFonts w:hint="eastAsia" w:ascii="宋体" w:hAnsi="宋体"/>
          <w:bCs/>
          <w:color w:val="000000"/>
        </w:rPr>
        <w:t>项目编号：</w:t>
      </w:r>
      <w:r>
        <w:rPr>
          <w:rFonts w:hint="eastAsia" w:ascii="宋体" w:hAnsi="宋体"/>
          <w:b/>
          <w:bCs/>
          <w:color w:val="000000" w:themeColor="text1"/>
          <w:szCs w:val="21"/>
          <w:u w:val="single"/>
          <w:lang w:eastAsia="zh-CN"/>
        </w:rPr>
        <w:t>YJFY20250717</w:t>
      </w:r>
      <w:r>
        <w:rPr>
          <w:rFonts w:hint="eastAsia" w:ascii="宋体" w:hAnsi="宋体"/>
          <w:bCs/>
          <w:caps/>
          <w:color w:val="000000"/>
        </w:rPr>
        <w:t xml:space="preserve">                       </w:t>
      </w:r>
      <w:r>
        <w:rPr>
          <w:rFonts w:hint="eastAsia"/>
          <w:color w:val="000000"/>
          <w:szCs w:val="18"/>
        </w:rPr>
        <w:t xml:space="preserve">                     （单位：元）</w:t>
      </w:r>
    </w:p>
    <w:p>
      <w:pPr>
        <w:adjustRightInd w:val="0"/>
        <w:snapToGrid w:val="0"/>
        <w:spacing w:line="360" w:lineRule="auto"/>
        <w:ind w:left="1050" w:hanging="1050" w:hangingChars="500"/>
        <w:jc w:val="left"/>
        <w:rPr>
          <w:rFonts w:ascii="宋体" w:hAnsi="宋体"/>
          <w:b/>
          <w:bCs/>
          <w:caps/>
          <w:color w:val="000000"/>
        </w:rPr>
      </w:pPr>
      <w:r>
        <w:rPr>
          <w:rFonts w:hint="eastAsia" w:ascii="宋体" w:hAnsi="宋体"/>
          <w:bCs/>
          <w:color w:val="000000"/>
        </w:rPr>
        <w:t>项目名称：</w:t>
      </w:r>
      <w:r>
        <w:rPr>
          <w:rFonts w:hint="eastAsia" w:ascii="宋体" w:hAnsi="宋体" w:eastAsia="宋体" w:cs="Times New Roman"/>
          <w:b/>
          <w:bCs/>
          <w:color w:val="000000" w:themeColor="text1"/>
          <w:szCs w:val="21"/>
          <w:u w:val="single"/>
          <w:lang w:eastAsia="zh-CN"/>
        </w:rPr>
        <w:t xml:space="preserve">阳江市妇幼保健院一期特殊科室（手术室、NICU、产房、检验科PCR实验室、妇科门诊手术室）洁净区域维保服务采购项目 </w:t>
      </w:r>
      <w:r>
        <w:rPr>
          <w:rFonts w:hint="eastAsia" w:ascii="宋体" w:hAnsi="宋体"/>
          <w:b/>
          <w:bCs/>
          <w:caps/>
          <w:color w:val="000000"/>
        </w:rPr>
        <w:t xml:space="preserve">        </w:t>
      </w:r>
    </w:p>
    <w:p>
      <w:pPr>
        <w:adjustRightInd w:val="0"/>
        <w:snapToGrid w:val="0"/>
        <w:spacing w:line="360" w:lineRule="auto"/>
        <w:ind w:left="1054" w:hanging="1054" w:hangingChars="500"/>
        <w:jc w:val="left"/>
        <w:rPr>
          <w:rFonts w:ascii="宋体" w:hAnsi="宋体"/>
          <w:b/>
          <w:bCs/>
          <w:caps/>
          <w:color w:val="000000"/>
        </w:rPr>
      </w:pPr>
      <w:r>
        <w:rPr>
          <w:rFonts w:hint="eastAsia" w:ascii="宋体" w:hAnsi="宋体"/>
          <w:b/>
          <w:bCs/>
          <w:caps/>
          <w:color w:val="000000"/>
        </w:rPr>
        <w:t xml:space="preserve">                           </w:t>
      </w:r>
      <w:r>
        <w:rPr>
          <w:rFonts w:hint="eastAsia"/>
          <w:color w:val="000000"/>
          <w:szCs w:val="18"/>
        </w:rPr>
        <w:t xml:space="preserve">                                                 </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rPr>
                <w:color w:val="000000"/>
                <w:sz w:val="21"/>
                <w:szCs w:val="21"/>
              </w:rPr>
            </w:pPr>
            <w:r>
              <w:rPr>
                <w:rFonts w:hint="eastAsia"/>
                <w:color w:val="000000"/>
                <w:sz w:val="21"/>
                <w:szCs w:val="21"/>
              </w:rPr>
              <w:t>序号</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内容</w:t>
            </w: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1</w:t>
            </w: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2</w:t>
            </w:r>
          </w:p>
        </w:tc>
        <w:tc>
          <w:tcPr>
            <w:tcW w:w="1282" w:type="dxa"/>
            <w:gridSpan w:val="2"/>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3</w:t>
            </w: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4</w:t>
            </w:r>
          </w:p>
        </w:tc>
        <w:tc>
          <w:tcPr>
            <w:tcW w:w="1287"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1</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项目内容</w:t>
            </w: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2</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时间</w:t>
            </w: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3</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单价</w:t>
            </w: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4</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总价</w:t>
            </w: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5</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保险费</w:t>
            </w:r>
          </w:p>
        </w:tc>
        <w:tc>
          <w:tcPr>
            <w:tcW w:w="6412" w:type="dxa"/>
            <w:gridSpan w:val="6"/>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6</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税金</w:t>
            </w:r>
          </w:p>
        </w:tc>
        <w:tc>
          <w:tcPr>
            <w:tcW w:w="6412" w:type="dxa"/>
            <w:gridSpan w:val="6"/>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7</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技术服务费</w:t>
            </w:r>
          </w:p>
        </w:tc>
        <w:tc>
          <w:tcPr>
            <w:tcW w:w="6412" w:type="dxa"/>
            <w:gridSpan w:val="6"/>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8</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培训费</w:t>
            </w:r>
          </w:p>
        </w:tc>
        <w:tc>
          <w:tcPr>
            <w:tcW w:w="6412" w:type="dxa"/>
            <w:gridSpan w:val="6"/>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9</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质量保证期内的服务费用</w:t>
            </w:r>
          </w:p>
        </w:tc>
        <w:tc>
          <w:tcPr>
            <w:tcW w:w="6412" w:type="dxa"/>
            <w:gridSpan w:val="6"/>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10</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其他费用</w:t>
            </w:r>
          </w:p>
          <w:p>
            <w:pPr>
              <w:pStyle w:val="8"/>
              <w:snapToGrid w:val="0"/>
              <w:ind w:firstLine="0"/>
              <w:jc w:val="center"/>
              <w:rPr>
                <w:color w:val="000000"/>
                <w:sz w:val="21"/>
                <w:szCs w:val="21"/>
              </w:rPr>
            </w:pPr>
            <w:r>
              <w:rPr>
                <w:rFonts w:hint="eastAsia"/>
                <w:color w:val="000000"/>
                <w:sz w:val="21"/>
                <w:szCs w:val="21"/>
              </w:rPr>
              <w:t>（该表中无体现的费用但本项目有产生的其他费用）</w:t>
            </w:r>
          </w:p>
        </w:tc>
        <w:tc>
          <w:tcPr>
            <w:tcW w:w="6412" w:type="dxa"/>
            <w:gridSpan w:val="6"/>
            <w:tcBorders>
              <w:top w:val="single" w:color="auto" w:sz="4" w:space="0"/>
              <w:left w:val="nil"/>
              <w:bottom w:val="single" w:color="auto" w:sz="4" w:space="0"/>
              <w:right w:val="single" w:color="auto" w:sz="4" w:space="0"/>
            </w:tcBorders>
            <w:vAlign w:val="center"/>
          </w:tcPr>
          <w:p>
            <w:pPr>
              <w:pStyle w:val="8"/>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11</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bCs/>
                <w:color w:val="000000"/>
                <w:sz w:val="21"/>
                <w:szCs w:val="21"/>
              </w:rPr>
            </w:pPr>
            <w:r>
              <w:rPr>
                <w:rFonts w:hint="eastAsia"/>
                <w:bCs/>
                <w:color w:val="000000"/>
                <w:sz w:val="21"/>
                <w:szCs w:val="21"/>
              </w:rPr>
              <w:t>投标总价</w:t>
            </w:r>
          </w:p>
        </w:tc>
        <w:tc>
          <w:tcPr>
            <w:tcW w:w="3208" w:type="dxa"/>
            <w:gridSpan w:val="3"/>
            <w:tcBorders>
              <w:top w:val="single" w:color="auto" w:sz="4" w:space="0"/>
              <w:left w:val="nil"/>
              <w:bottom w:val="single" w:color="auto" w:sz="4" w:space="0"/>
              <w:right w:val="single" w:color="auto" w:sz="4" w:space="0"/>
            </w:tcBorders>
            <w:vAlign w:val="center"/>
          </w:tcPr>
          <w:p>
            <w:pPr>
              <w:pStyle w:val="8"/>
              <w:snapToGrid w:val="0"/>
              <w:ind w:firstLine="0"/>
              <w:rPr>
                <w:bCs/>
                <w:color w:val="000000"/>
                <w:sz w:val="21"/>
                <w:szCs w:val="21"/>
              </w:rPr>
            </w:pPr>
            <w:r>
              <w:rPr>
                <w:rFonts w:hint="eastAsia"/>
                <w:bCs/>
                <w:color w:val="000000"/>
                <w:sz w:val="21"/>
                <w:szCs w:val="21"/>
              </w:rPr>
              <w:t>（大写）人民币</w:t>
            </w:r>
          </w:p>
        </w:tc>
        <w:tc>
          <w:tcPr>
            <w:tcW w:w="3204" w:type="dxa"/>
            <w:gridSpan w:val="3"/>
            <w:tcBorders>
              <w:top w:val="single" w:color="auto" w:sz="4" w:space="0"/>
              <w:left w:val="nil"/>
              <w:bottom w:val="single" w:color="auto" w:sz="4" w:space="0"/>
              <w:right w:val="single" w:color="auto" w:sz="4" w:space="0"/>
            </w:tcBorders>
            <w:vAlign w:val="center"/>
          </w:tcPr>
          <w:p>
            <w:pPr>
              <w:pStyle w:val="8"/>
              <w:snapToGrid w:val="0"/>
              <w:ind w:firstLine="0"/>
              <w:rPr>
                <w:bCs/>
                <w:color w:val="000000"/>
                <w:sz w:val="21"/>
                <w:szCs w:val="21"/>
              </w:rPr>
            </w:pPr>
            <w:r>
              <w:rPr>
                <w:rFonts w:hint="eastAsia"/>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8"/>
              <w:snapToGrid w:val="0"/>
              <w:ind w:firstLine="0"/>
              <w:jc w:val="center"/>
              <w:rPr>
                <w:color w:val="000000"/>
                <w:sz w:val="21"/>
                <w:szCs w:val="21"/>
              </w:rPr>
            </w:pPr>
            <w:r>
              <w:rPr>
                <w:rFonts w:hint="eastAsia"/>
                <w:color w:val="000000"/>
                <w:sz w:val="21"/>
                <w:szCs w:val="21"/>
              </w:rPr>
              <w:t>12</w:t>
            </w:r>
          </w:p>
        </w:tc>
        <w:tc>
          <w:tcPr>
            <w:tcW w:w="1842" w:type="dxa"/>
            <w:tcBorders>
              <w:top w:val="single" w:color="auto" w:sz="4" w:space="0"/>
              <w:left w:val="nil"/>
              <w:bottom w:val="single" w:color="auto" w:sz="4" w:space="0"/>
              <w:right w:val="single" w:color="auto" w:sz="4" w:space="0"/>
            </w:tcBorders>
            <w:vAlign w:val="center"/>
          </w:tcPr>
          <w:p>
            <w:pPr>
              <w:pStyle w:val="8"/>
              <w:snapToGrid w:val="0"/>
              <w:ind w:firstLine="0"/>
              <w:jc w:val="center"/>
              <w:rPr>
                <w:bCs/>
                <w:color w:val="000000"/>
                <w:sz w:val="21"/>
                <w:szCs w:val="21"/>
              </w:rPr>
            </w:pPr>
            <w:r>
              <w:rPr>
                <w:rFonts w:hint="eastAsia"/>
                <w:bCs/>
                <w:color w:val="000000"/>
                <w:sz w:val="21"/>
                <w:szCs w:val="21"/>
              </w:rPr>
              <w:t>备注</w:t>
            </w:r>
          </w:p>
        </w:tc>
        <w:tc>
          <w:tcPr>
            <w:tcW w:w="6412" w:type="dxa"/>
            <w:gridSpan w:val="6"/>
            <w:tcBorders>
              <w:top w:val="single" w:color="auto" w:sz="4" w:space="0"/>
              <w:left w:val="nil"/>
              <w:bottom w:val="single" w:color="auto" w:sz="4" w:space="0"/>
              <w:right w:val="single" w:color="auto" w:sz="4" w:space="0"/>
            </w:tcBorders>
            <w:vAlign w:val="center"/>
          </w:tcPr>
          <w:p>
            <w:pPr>
              <w:pStyle w:val="8"/>
              <w:snapToGrid w:val="0"/>
              <w:ind w:firstLine="0"/>
              <w:jc w:val="center"/>
              <w:rPr>
                <w:bCs/>
                <w:color w:val="000000"/>
                <w:sz w:val="21"/>
                <w:szCs w:val="21"/>
              </w:rPr>
            </w:pPr>
          </w:p>
        </w:tc>
      </w:tr>
    </w:tbl>
    <w:p>
      <w:pPr>
        <w:rPr>
          <w:rFonts w:ascii="宋体" w:hAnsi="宋体"/>
          <w:color w:val="000000"/>
        </w:rPr>
      </w:pPr>
    </w:p>
    <w:p>
      <w:pPr>
        <w:rPr>
          <w:rFonts w:ascii="宋体" w:hAnsi="宋体"/>
          <w:color w:val="000000"/>
        </w:rPr>
      </w:pPr>
    </w:p>
    <w:p>
      <w:pPr>
        <w:rPr>
          <w:rFonts w:ascii="Calibri" w:hAnsi="Calibri"/>
          <w:szCs w:val="21"/>
        </w:rPr>
      </w:pPr>
      <w:r>
        <w:rPr>
          <w:rFonts w:hint="eastAsia" w:ascii="宋体" w:hAnsi="宋体"/>
          <w:color w:val="000000"/>
        </w:rPr>
        <w:t>注：如本表格式内容不能满足需要，投标人可自行划表填写。</w:t>
      </w:r>
    </w:p>
    <w:p>
      <w:pPr>
        <w:adjustRightInd w:val="0"/>
        <w:snapToGrid w:val="0"/>
        <w:spacing w:line="400" w:lineRule="exact"/>
        <w:rPr>
          <w:rFonts w:ascii="宋体" w:hAnsi="宋体"/>
          <w:bCs/>
          <w:color w:val="000000"/>
        </w:rPr>
      </w:pPr>
      <w:r>
        <w:rPr>
          <w:rFonts w:hint="eastAsia"/>
          <w:color w:val="000000"/>
          <w:szCs w:val="21"/>
        </w:rPr>
        <w:t>投标人</w:t>
      </w:r>
      <w:r>
        <w:rPr>
          <w:rFonts w:hint="eastAsia" w:ascii="宋体" w:hAnsi="宋体"/>
          <w:bCs/>
          <w:color w:val="000000"/>
        </w:rPr>
        <w:t xml:space="preserve">法定代表人或授权代理人（签字）：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 xml:space="preserve"> </w:t>
      </w:r>
    </w:p>
    <w:p>
      <w:pPr>
        <w:adjustRightInd w:val="0"/>
        <w:snapToGrid w:val="0"/>
        <w:spacing w:line="400" w:lineRule="exact"/>
        <w:rPr>
          <w:rFonts w:ascii="宋体" w:hAnsi="宋体"/>
          <w:bCs/>
          <w:color w:val="000000"/>
          <w:u w:val="single"/>
        </w:rPr>
      </w:pPr>
      <w:r>
        <w:rPr>
          <w:rFonts w:hint="eastAsia"/>
          <w:color w:val="000000"/>
          <w:szCs w:val="21"/>
        </w:rPr>
        <w:t>投标人</w:t>
      </w:r>
      <w:r>
        <w:rPr>
          <w:rFonts w:hint="eastAsia" w:ascii="宋体" w:hAnsi="宋体"/>
          <w:bCs/>
          <w:color w:val="000000"/>
        </w:rPr>
        <w:t>名称（公章）：</w:t>
      </w:r>
      <w:r>
        <w:rPr>
          <w:rFonts w:ascii="宋体" w:hAnsi="宋体"/>
          <w:bCs/>
          <w:color w:val="000000"/>
          <w:u w:val="single"/>
        </w:rPr>
        <w:t xml:space="preserve">    </w:t>
      </w:r>
      <w:r>
        <w:rPr>
          <w:rFonts w:hint="eastAsia" w:ascii="宋体" w:hAnsi="宋体"/>
          <w:bCs/>
          <w:color w:val="000000"/>
          <w:u w:val="single"/>
        </w:rPr>
        <w:t xml:space="preserve">                                        </w:t>
      </w:r>
    </w:p>
    <w:p>
      <w:pPr>
        <w:adjustRightInd w:val="0"/>
        <w:snapToGrid w:val="0"/>
        <w:spacing w:line="360" w:lineRule="auto"/>
        <w:jc w:val="left"/>
        <w:rPr>
          <w:rFonts w:ascii="宋体" w:hAnsi="宋体"/>
          <w:color w:val="000000" w:themeColor="text1"/>
          <w:spacing w:val="10"/>
          <w:szCs w:val="21"/>
        </w:rPr>
      </w:pPr>
    </w:p>
    <w:p>
      <w:pPr>
        <w:adjustRightInd w:val="0"/>
        <w:snapToGrid w:val="0"/>
        <w:spacing w:line="360" w:lineRule="auto"/>
        <w:jc w:val="left"/>
        <w:rPr>
          <w:rFonts w:ascii="宋体" w:hAnsi="宋体"/>
          <w:color w:val="000000" w:themeColor="text1"/>
          <w:spacing w:val="10"/>
          <w:szCs w:val="21"/>
        </w:rPr>
      </w:pPr>
    </w:p>
    <w:p>
      <w:pPr>
        <w:rPr>
          <w:rFonts w:ascii="宋体" w:hAnsi="宋体"/>
          <w:color w:val="000000" w:themeColor="text1"/>
        </w:rPr>
      </w:pPr>
      <w:bookmarkStart w:id="2186" w:name="_Toc200414528"/>
    </w:p>
    <w:p>
      <w:pPr>
        <w:pStyle w:val="5"/>
        <w:numPr>
          <w:ilvl w:val="1"/>
          <w:numId w:val="0"/>
        </w:numPr>
        <w:spacing w:line="360" w:lineRule="auto"/>
        <w:rPr>
          <w:rFonts w:ascii="宋体" w:hAnsi="宋体"/>
          <w:color w:val="000000" w:themeColor="text1"/>
          <w:sz w:val="28"/>
          <w:szCs w:val="28"/>
        </w:rPr>
      </w:pPr>
      <w:bookmarkStart w:id="2187" w:name="_Toc83905602"/>
      <w:bookmarkStart w:id="2188" w:name="_Toc469160798"/>
      <w:r>
        <w:rPr>
          <w:rFonts w:hint="eastAsia" w:ascii="宋体" w:hAnsi="宋体"/>
          <w:color w:val="000000" w:themeColor="text1"/>
          <w:sz w:val="28"/>
          <w:szCs w:val="28"/>
        </w:rPr>
        <w:t>附件四：商务条款偏离一览表</w:t>
      </w:r>
      <w:bookmarkEnd w:id="2186"/>
      <w:bookmarkEnd w:id="2187"/>
      <w:bookmarkEnd w:id="2188"/>
    </w:p>
    <w:p>
      <w:pPr>
        <w:adjustRightInd w:val="0"/>
        <w:snapToGrid w:val="0"/>
        <w:spacing w:line="360" w:lineRule="auto"/>
        <w:jc w:val="left"/>
        <w:rPr>
          <w:rFonts w:hint="eastAsia" w:ascii="宋体" w:hAnsi="宋体" w:eastAsia="宋体"/>
          <w:b/>
          <w:bCs/>
          <w:caps/>
          <w:color w:val="000000" w:themeColor="text1"/>
          <w:szCs w:val="21"/>
          <w:u w:val="single"/>
          <w:lang w:eastAsia="zh-CN"/>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YJFY20250717</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color w:val="000000" w:themeColor="text1"/>
                <w:szCs w:val="21"/>
              </w:rPr>
              <w:t>项目名称：</w:t>
            </w:r>
            <w:r>
              <w:rPr>
                <w:rFonts w:hint="eastAsia" w:ascii="宋体" w:hAnsi="宋体"/>
                <w:b/>
                <w:bCs/>
                <w:color w:val="000000" w:themeColor="text1"/>
                <w:szCs w:val="21"/>
                <w:u w:val="single"/>
                <w:lang w:eastAsia="zh-CN"/>
              </w:rPr>
              <w:t>阳江市妇幼保健院一期特殊科室（手术室、NICU、产房、检验科PCR实验室、妇科门诊手术室）洁净区域维保服务采购项目</w:t>
            </w:r>
            <w:r>
              <w:rPr>
                <w:rFonts w:hint="eastAsia" w:ascii="宋体" w:hAnsi="宋体"/>
                <w:bCs/>
                <w:color w:val="000000" w:themeColor="text1"/>
                <w:szCs w:val="21"/>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color w:val="000000" w:themeColor="text1"/>
                <w:szCs w:val="21"/>
              </w:rPr>
              <w:t>招标</w:t>
            </w:r>
            <w:r>
              <w:rPr>
                <w:rFonts w:ascii="宋体" w:hAnsi="宋体"/>
                <w:color w:val="000000" w:themeColor="text1"/>
                <w:szCs w:val="21"/>
              </w:rPr>
              <w:t>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投标规格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说明：1）对“偏离”一栏，填写“</w:t>
      </w:r>
      <w:r>
        <w:rPr>
          <w:rFonts w:hint="eastAsia" w:ascii="宋体" w:hAnsi="宋体"/>
          <w:bCs/>
          <w:color w:val="000000" w:themeColor="text1"/>
        </w:rPr>
        <w:t>无偏离、正偏离、负偏离</w:t>
      </w:r>
      <w:r>
        <w:rPr>
          <w:rFonts w:hint="eastAsia" w:ascii="宋体" w:hAnsi="宋体"/>
          <w:bCs/>
          <w:color w:val="000000" w:themeColor="text1"/>
          <w:szCs w:val="21"/>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rPr>
        <w:t>2）对招标文件中商务条款按上列格式逐条说明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投标人名称（加盖公章）：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rPr>
          <w:rFonts w:ascii="宋体" w:hAnsi="宋体"/>
          <w:bCs/>
          <w:color w:val="000000" w:themeColor="text1"/>
          <w:szCs w:val="21"/>
          <w:u w:val="singl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rPr>
          <w:rFonts w:ascii="宋体" w:hAnsi="宋体"/>
          <w:color w:val="000000" w:themeColor="text1"/>
          <w:sz w:val="28"/>
          <w:szCs w:val="28"/>
        </w:rPr>
      </w:pPr>
      <w:bookmarkStart w:id="2189" w:name="_Toc83905603"/>
      <w:bookmarkStart w:id="2190" w:name="_Toc469160799"/>
      <w:bookmarkStart w:id="2191" w:name="_Toc200414529"/>
      <w:r>
        <w:rPr>
          <w:rFonts w:hint="eastAsia" w:ascii="宋体" w:hAnsi="宋体"/>
          <w:color w:val="000000" w:themeColor="text1"/>
          <w:sz w:val="28"/>
          <w:szCs w:val="28"/>
        </w:rPr>
        <w:t>附件五：技术条款偏离一览表</w:t>
      </w:r>
      <w:bookmarkEnd w:id="2189"/>
      <w:bookmarkEnd w:id="2190"/>
      <w:bookmarkEnd w:id="2191"/>
    </w:p>
    <w:p>
      <w:pPr>
        <w:adjustRightInd w:val="0"/>
        <w:snapToGrid w:val="0"/>
        <w:spacing w:line="360" w:lineRule="auto"/>
        <w:rPr>
          <w:rFonts w:hint="eastAsia" w:ascii="宋体" w:hAnsi="宋体" w:eastAsia="宋体"/>
          <w:color w:val="000000" w:themeColor="text1"/>
          <w:szCs w:val="21"/>
          <w:u w:val="single"/>
          <w:lang w:eastAsia="zh-CN"/>
        </w:rPr>
      </w:pPr>
      <w:r>
        <w:rPr>
          <w:rFonts w:hint="eastAsia" w:ascii="宋体" w:hAnsi="宋体"/>
          <w:color w:val="000000" w:themeColor="text1"/>
          <w:szCs w:val="21"/>
        </w:rPr>
        <w:t>项目编号：</w:t>
      </w:r>
      <w:r>
        <w:rPr>
          <w:rFonts w:hint="eastAsia" w:ascii="宋体" w:hAnsi="宋体"/>
          <w:b/>
          <w:bCs/>
          <w:color w:val="000000" w:themeColor="text1"/>
          <w:szCs w:val="21"/>
          <w:u w:val="single"/>
          <w:lang w:eastAsia="zh-CN"/>
        </w:rPr>
        <w:t>YJFY20250717</w:t>
      </w:r>
    </w:p>
    <w:p>
      <w:pPr>
        <w:adjustRightInd w:val="0"/>
        <w:snapToGrid w:val="0"/>
        <w:spacing w:line="360" w:lineRule="auto"/>
        <w:jc w:val="left"/>
        <w:rPr>
          <w:rFonts w:ascii="宋体" w:hAnsi="宋体"/>
          <w:b/>
          <w:bCs/>
          <w:caps/>
          <w:color w:val="000000" w:themeColor="text1"/>
          <w:szCs w:val="21"/>
          <w:u w:val="single"/>
        </w:rPr>
      </w:pPr>
      <w:r>
        <w:rPr>
          <w:rFonts w:hint="eastAsia" w:ascii="宋体" w:hAnsi="宋体"/>
          <w:color w:val="000000" w:themeColor="text1"/>
          <w:szCs w:val="21"/>
        </w:rPr>
        <w:t>项目名称：</w:t>
      </w:r>
      <w:r>
        <w:rPr>
          <w:rFonts w:hint="eastAsia" w:ascii="宋体" w:hAnsi="宋体" w:eastAsia="宋体" w:cs="Times New Roman"/>
          <w:b/>
          <w:bCs/>
          <w:color w:val="000000" w:themeColor="text1"/>
          <w:szCs w:val="21"/>
          <w:u w:val="single"/>
          <w:lang w:eastAsia="zh-CN"/>
        </w:rPr>
        <w:t>阳江市妇幼保健院一期特殊科室（手术室、NICU、产房、检验科PCR实验室、妇科门诊手术室）洁净区域维保服务采购项目</w:t>
      </w:r>
      <w:r>
        <w:rPr>
          <w:rFonts w:hint="eastAsia" w:ascii="宋体" w:hAnsi="宋体"/>
          <w:b/>
          <w:bCs/>
          <w:color w:val="000000" w:themeColor="text1"/>
          <w:szCs w:val="21"/>
          <w:u w:val="single"/>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color w:val="000000" w:themeColor="text1"/>
                <w:szCs w:val="21"/>
              </w:rPr>
              <w:t>招标</w:t>
            </w:r>
            <w:r>
              <w:rPr>
                <w:rFonts w:ascii="宋体" w:hAnsi="宋体"/>
                <w:color w:val="000000" w:themeColor="text1"/>
                <w:szCs w:val="21"/>
              </w:rPr>
              <w:t>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偏离</w:t>
            </w:r>
          </w:p>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r>
              <w:rPr>
                <w:rFonts w:hint="eastAsia" w:ascii="宋体" w:hAnsi="宋体"/>
                <w:bCs/>
                <w:color w:val="000000" w:themeColor="text1"/>
                <w:szCs w:val="21"/>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rPr>
            </w:pPr>
          </w:p>
        </w:tc>
      </w:tr>
    </w:tbl>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说明：1）对“偏离”一栏，填写“</w:t>
      </w:r>
      <w:r>
        <w:rPr>
          <w:rFonts w:hint="eastAsia" w:ascii="宋体" w:hAnsi="宋体"/>
          <w:bCs/>
          <w:color w:val="000000" w:themeColor="text1"/>
        </w:rPr>
        <w:t>无偏离、正偏离、负偏离</w:t>
      </w:r>
      <w:r>
        <w:rPr>
          <w:rFonts w:hint="eastAsia" w:ascii="宋体" w:hAnsi="宋体"/>
          <w:bCs/>
          <w:color w:val="000000" w:themeColor="text1"/>
          <w:szCs w:val="21"/>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rPr>
        <w:t>2）对招标文件中技术条款按上列格式逐条说明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ind w:left="-271" w:leftChars="-129" w:right="-384" w:rightChars="-183"/>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360" w:lineRule="auto"/>
        <w:ind w:left="-271" w:leftChars="-129" w:right="-384" w:rightChars="-183"/>
        <w:rPr>
          <w:rFonts w:ascii="宋体" w:hAnsi="宋体"/>
          <w:bCs/>
          <w:color w:val="000000" w:themeColor="text1"/>
          <w:u w:val="single"/>
        </w:rPr>
      </w:pPr>
      <w:r>
        <w:rPr>
          <w:rFonts w:hint="eastAsia" w:ascii="宋体" w:hAnsi="宋体"/>
          <w:bCs/>
          <w:color w:val="000000" w:themeColor="text1"/>
          <w:szCs w:val="21"/>
        </w:rPr>
        <w:t>投标人名称（加盖公章）：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hint="eastAsia" w:ascii="宋体" w:hAnsi="宋体"/>
          <w:bCs/>
          <w:color w:val="000000" w:themeColor="text1"/>
          <w:u w:val="single"/>
        </w:rPr>
        <w:t xml:space="preserve">      </w:t>
      </w:r>
    </w:p>
    <w:p>
      <w:pPr>
        <w:adjustRightInd w:val="0"/>
        <w:snapToGrid w:val="0"/>
        <w:spacing w:line="360" w:lineRule="auto"/>
        <w:ind w:left="-271" w:leftChars="-129" w:right="-384" w:rightChars="-183"/>
        <w:rPr>
          <w:rFonts w:ascii="宋体" w:hAnsi="宋体"/>
          <w:bCs/>
          <w:color w:val="000000" w:themeColor="text1"/>
          <w:u w:val="single"/>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p>
    <w:p>
      <w:pPr>
        <w:spacing w:line="360" w:lineRule="atLeast"/>
        <w:rPr>
          <w:color w:val="000000"/>
          <w:sz w:val="24"/>
        </w:rPr>
        <w:sectPr>
          <w:pgSz w:w="11906" w:h="16838"/>
          <w:pgMar w:top="1418" w:right="1474" w:bottom="1418" w:left="1474" w:header="851" w:footer="851" w:gutter="0"/>
          <w:cols w:space="720" w:num="1"/>
          <w:titlePg/>
          <w:docGrid w:linePitch="312" w:charSpace="0"/>
        </w:sectPr>
      </w:pPr>
      <w:r>
        <w:rPr>
          <w:color w:val="000000"/>
          <w:sz w:val="24"/>
        </w:rPr>
        <w:t xml:space="preserve">    </w:t>
      </w:r>
    </w:p>
    <w:p>
      <w:pPr>
        <w:pStyle w:val="5"/>
        <w:numPr>
          <w:ilvl w:val="1"/>
          <w:numId w:val="0"/>
        </w:numPr>
        <w:spacing w:line="360" w:lineRule="auto"/>
        <w:rPr>
          <w:rFonts w:ascii="宋体" w:hAnsi="宋体"/>
          <w:color w:val="000000" w:themeColor="text1"/>
          <w:sz w:val="28"/>
          <w:szCs w:val="28"/>
        </w:rPr>
      </w:pPr>
      <w:bookmarkStart w:id="2192" w:name="_Toc10252"/>
      <w:bookmarkStart w:id="2193" w:name="_Toc369701014"/>
      <w:bookmarkStart w:id="2194" w:name="_Toc408126494"/>
      <w:bookmarkStart w:id="2195" w:name="_Toc387312903"/>
      <w:bookmarkStart w:id="2196" w:name="_Toc6603"/>
      <w:bookmarkStart w:id="2197" w:name="_Toc28941"/>
      <w:bookmarkStart w:id="2198" w:name="_Toc26096"/>
      <w:bookmarkStart w:id="2199" w:name="_Toc7091"/>
      <w:bookmarkStart w:id="2200" w:name="_Toc7022"/>
      <w:bookmarkStart w:id="2201" w:name="_Toc21206"/>
      <w:bookmarkStart w:id="2202" w:name="_Toc49265668"/>
      <w:bookmarkStart w:id="2203" w:name="_Toc83905604"/>
      <w:r>
        <w:rPr>
          <w:rFonts w:hint="eastAsia" w:ascii="宋体" w:hAnsi="宋体"/>
          <w:color w:val="000000" w:themeColor="text1"/>
          <w:sz w:val="28"/>
          <w:szCs w:val="28"/>
        </w:rPr>
        <w:t>附件六：</w:t>
      </w:r>
      <w:bookmarkEnd w:id="2192"/>
      <w:bookmarkEnd w:id="2193"/>
      <w:bookmarkEnd w:id="2194"/>
      <w:bookmarkEnd w:id="2195"/>
      <w:bookmarkEnd w:id="2196"/>
      <w:bookmarkEnd w:id="2197"/>
      <w:bookmarkEnd w:id="2198"/>
      <w:bookmarkEnd w:id="2199"/>
      <w:bookmarkEnd w:id="2200"/>
      <w:bookmarkEnd w:id="2201"/>
      <w:r>
        <w:rPr>
          <w:rFonts w:hint="eastAsia" w:ascii="宋体" w:hAnsi="宋体"/>
          <w:color w:val="000000" w:themeColor="text1"/>
          <w:sz w:val="28"/>
          <w:szCs w:val="28"/>
        </w:rPr>
        <w:t>售后服务方案</w:t>
      </w:r>
      <w:bookmarkEnd w:id="2202"/>
      <w:bookmarkEnd w:id="2203"/>
    </w:p>
    <w:p>
      <w:pPr>
        <w:adjustRightInd w:val="0"/>
        <w:snapToGrid w:val="0"/>
        <w:spacing w:line="360" w:lineRule="auto"/>
        <w:jc w:val="left"/>
        <w:rPr>
          <w:rFonts w:ascii="宋体" w:hAnsi="宋体"/>
          <w:bCs/>
          <w:caps/>
          <w:color w:val="000000"/>
          <w:u w:val="single"/>
        </w:rPr>
      </w:pPr>
      <w:r>
        <w:rPr>
          <w:rFonts w:hint="eastAsia" w:ascii="宋体" w:hAnsi="宋体"/>
          <w:bCs/>
          <w:color w:val="000000"/>
        </w:rPr>
        <w:t>项目编号：</w:t>
      </w:r>
      <w:r>
        <w:rPr>
          <w:rFonts w:hint="eastAsia" w:ascii="宋体" w:hAnsi="宋体"/>
          <w:b/>
          <w:bCs/>
          <w:color w:val="000000" w:themeColor="text1"/>
          <w:szCs w:val="21"/>
          <w:u w:val="single"/>
          <w:lang w:eastAsia="zh-CN"/>
        </w:rPr>
        <w:t>YJFY20250717</w:t>
      </w:r>
      <w:r>
        <w:rPr>
          <w:rFonts w:hint="eastAsia" w:ascii="宋体" w:hAnsi="宋体"/>
          <w:b/>
          <w:bCs/>
          <w:caps/>
          <w:color w:val="000000"/>
        </w:rPr>
        <w:t xml:space="preserve">              </w:t>
      </w:r>
    </w:p>
    <w:p>
      <w:pPr>
        <w:pStyle w:val="8"/>
        <w:spacing w:line="360" w:lineRule="auto"/>
        <w:ind w:firstLine="0"/>
        <w:rPr>
          <w:rFonts w:hint="eastAsia" w:hAnsi="宋体" w:eastAsia="宋体"/>
          <w:bCs/>
          <w:color w:val="000000" w:themeColor="text1"/>
          <w:szCs w:val="21"/>
          <w:lang w:eastAsia="zh-CN"/>
        </w:rPr>
      </w:pPr>
      <w:r>
        <w:rPr>
          <w:rFonts w:hint="eastAsia" w:ascii="宋体" w:hAnsi="宋体"/>
          <w:bCs/>
          <w:color w:val="000000"/>
        </w:rPr>
        <w:t>项目名称：</w:t>
      </w:r>
      <w:r>
        <w:rPr>
          <w:rFonts w:hint="eastAsia" w:hAnsi="宋体"/>
          <w:b/>
          <w:bCs/>
          <w:color w:val="000000" w:themeColor="text1"/>
          <w:szCs w:val="21"/>
          <w:u w:val="single"/>
          <w:lang w:eastAsia="zh-CN"/>
        </w:rPr>
        <w:t>阳江市妇幼保健院一期特殊科室（手术室、NICU、产房、检验科PCR实验室、妇科门诊手术室）洁净区域维保服务采购项目</w:t>
      </w: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adjustRightInd w:val="0"/>
        <w:snapToGrid w:val="0"/>
        <w:spacing w:line="360" w:lineRule="auto"/>
        <w:rPr>
          <w:rFonts w:ascii="宋体" w:hAnsi="宋体"/>
          <w:bCs/>
          <w:color w:val="000000"/>
        </w:rPr>
      </w:pPr>
      <w:r>
        <w:rPr>
          <w:rFonts w:hint="eastAsia" w:ascii="宋体" w:hAnsi="宋体"/>
          <w:bCs/>
          <w:color w:val="000000"/>
        </w:rPr>
        <w:t>投标人法定代表人或授权代理人（签字）：</w:t>
      </w:r>
      <w:r>
        <w:rPr>
          <w:rFonts w:hint="eastAsia" w:ascii="宋体" w:hAnsi="宋体"/>
          <w:bCs/>
          <w:color w:val="000000"/>
          <w:u w:val="single"/>
        </w:rPr>
        <w:t xml:space="preserve">                            </w:t>
      </w:r>
    </w:p>
    <w:p>
      <w:pPr>
        <w:adjustRightInd w:val="0"/>
        <w:snapToGrid w:val="0"/>
        <w:spacing w:line="360" w:lineRule="auto"/>
        <w:rPr>
          <w:rFonts w:ascii="宋体" w:hAnsi="宋体"/>
          <w:bCs/>
          <w:color w:val="000000"/>
        </w:rPr>
      </w:pPr>
      <w:r>
        <w:rPr>
          <w:rFonts w:hint="eastAsia" w:ascii="宋体" w:hAnsi="宋体"/>
          <w:bCs/>
          <w:color w:val="000000"/>
        </w:rPr>
        <w:t>投标人名称（加盖公章）：</w:t>
      </w:r>
      <w:r>
        <w:rPr>
          <w:rFonts w:ascii="宋体" w:hAnsi="宋体"/>
          <w:bCs/>
          <w:color w:val="000000"/>
          <w:u w:val="single"/>
        </w:rPr>
        <w:t xml:space="preserve">    </w:t>
      </w:r>
      <w:r>
        <w:rPr>
          <w:rFonts w:hint="eastAsia" w:ascii="宋体" w:hAnsi="宋体"/>
          <w:bCs/>
          <w:color w:val="000000"/>
          <w:u w:val="single"/>
        </w:rPr>
        <w:t xml:space="preserve">                                              </w:t>
      </w:r>
    </w:p>
    <w:p>
      <w:pPr>
        <w:pStyle w:val="26"/>
        <w:adjustRightInd w:val="0"/>
        <w:snapToGrid w:val="0"/>
        <w:spacing w:line="360" w:lineRule="auto"/>
        <w:rPr>
          <w:rFonts w:hAnsi="宋体"/>
          <w:color w:val="000000"/>
          <w:szCs w:val="21"/>
        </w:rPr>
      </w:pPr>
      <w:r>
        <w:rPr>
          <w:rFonts w:hAnsi="宋体"/>
          <w:color w:val="000000"/>
          <w:szCs w:val="21"/>
        </w:rPr>
        <w:t>日期：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pPr>
        <w:pStyle w:val="8"/>
        <w:spacing w:line="360" w:lineRule="auto"/>
        <w:ind w:firstLine="0"/>
        <w:rPr>
          <w:rFonts w:hAnsi="宋体"/>
          <w:bCs/>
          <w:color w:val="000000" w:themeColor="text1"/>
          <w:szCs w:val="21"/>
        </w:rPr>
      </w:pPr>
    </w:p>
    <w:p>
      <w:pPr>
        <w:pStyle w:val="5"/>
        <w:numPr>
          <w:ilvl w:val="1"/>
          <w:numId w:val="0"/>
        </w:numPr>
        <w:spacing w:line="360" w:lineRule="auto"/>
        <w:rPr>
          <w:rFonts w:ascii="宋体" w:hAnsi="宋体"/>
          <w:color w:val="000000" w:themeColor="text1"/>
          <w:sz w:val="28"/>
          <w:szCs w:val="28"/>
        </w:rPr>
      </w:pPr>
      <w:bookmarkStart w:id="2204" w:name="_Toc49265670"/>
      <w:bookmarkStart w:id="2205" w:name="_Toc7366"/>
      <w:bookmarkStart w:id="2206" w:name="_Toc83905605"/>
      <w:r>
        <w:rPr>
          <w:rFonts w:hint="eastAsia" w:ascii="宋体" w:hAnsi="宋体"/>
          <w:color w:val="000000" w:themeColor="text1"/>
          <w:sz w:val="28"/>
          <w:szCs w:val="28"/>
        </w:rPr>
        <w:t>附件七：中小微企业声明函</w:t>
      </w:r>
      <w:bookmarkEnd w:id="2204"/>
      <w:bookmarkEnd w:id="2205"/>
      <w:bookmarkEnd w:id="2206"/>
    </w:p>
    <w:p>
      <w:pPr>
        <w:pStyle w:val="5"/>
        <w:numPr>
          <w:ilvl w:val="0"/>
          <w:numId w:val="0"/>
        </w:numPr>
        <w:spacing w:line="400" w:lineRule="exact"/>
        <w:rPr>
          <w:color w:val="000000"/>
        </w:rPr>
      </w:pPr>
    </w:p>
    <w:p>
      <w:pPr>
        <w:spacing w:line="360" w:lineRule="auto"/>
        <w:ind w:firstLine="420" w:firstLineChars="200"/>
        <w:rPr>
          <w:rFonts w:ascii="宋体" w:hAnsi="宋体"/>
          <w:color w:val="000000"/>
          <w:szCs w:val="21"/>
        </w:rPr>
      </w:pPr>
      <w:r>
        <w:rPr>
          <w:rFonts w:hint="eastAsia" w:ascii="宋体" w:hAnsi="宋体"/>
          <w:color w:val="000000"/>
          <w:szCs w:val="21"/>
        </w:rPr>
        <w:t>本公司郑重声明，根据《政府采购促进中小企业发展暂行办法》（财库[2011]181号）的规定，本公司为______（请填写：中型、小型、微型）企业。即，本公司同时满足以下条件：</w:t>
      </w:r>
    </w:p>
    <w:p>
      <w:pPr>
        <w:spacing w:line="360" w:lineRule="auto"/>
        <w:ind w:firstLine="420" w:firstLineChars="200"/>
        <w:rPr>
          <w:rFonts w:ascii="宋体" w:hAnsi="宋体"/>
          <w:color w:val="000000"/>
          <w:szCs w:val="21"/>
        </w:rPr>
      </w:pPr>
      <w:r>
        <w:rPr>
          <w:rFonts w:hint="eastAsia" w:ascii="宋体" w:hAnsi="宋体"/>
          <w:color w:val="000000"/>
          <w:szCs w:val="21"/>
        </w:rPr>
        <w:t xml:space="preserve"> 1.根据《工业和信息化部、国家统计局、国家发展和改革委员会、财政部关于印发中小企业划型标准规定的通知》（工信部联企业[2011]300 号）规定的划分标准：第四条第______项_________行业，本公司（此处填写从业人员或营业收入的具体数据），为 ______（请填写：中型、小型、微型）企业。</w:t>
      </w:r>
    </w:p>
    <w:p>
      <w:pPr>
        <w:spacing w:line="360" w:lineRule="auto"/>
        <w:ind w:firstLine="420" w:firstLineChars="200"/>
        <w:rPr>
          <w:rFonts w:ascii="宋体" w:hAnsi="宋体"/>
          <w:color w:val="000000"/>
          <w:szCs w:val="21"/>
        </w:rPr>
      </w:pPr>
      <w:r>
        <w:rPr>
          <w:rFonts w:hint="eastAsia" w:ascii="宋体" w:hAnsi="宋体"/>
          <w:color w:val="000000"/>
          <w:szCs w:val="21"/>
        </w:rPr>
        <w:t xml:space="preserve"> 2.本公司参加阳江市投源招标采购有限公司组织的</w:t>
      </w:r>
      <w:r>
        <w:rPr>
          <w:rFonts w:hint="eastAsia" w:ascii="宋体" w:hAnsi="宋体" w:eastAsia="宋体" w:cs="Times New Roman"/>
          <w:b/>
          <w:bCs/>
          <w:color w:val="000000" w:themeColor="text1"/>
          <w:szCs w:val="21"/>
          <w:u w:val="single"/>
          <w:lang w:eastAsia="zh-CN"/>
        </w:rPr>
        <w:t>阳江市妇幼保健院一期特殊科室（手术室、NICU、产房、检验科PCR实验室、妇科门诊手术室）洁净区域维保服务采购项目</w:t>
      </w:r>
      <w:r>
        <w:rPr>
          <w:rFonts w:hint="eastAsia" w:ascii="宋体" w:hAnsi="宋体"/>
          <w:color w:val="000000"/>
          <w:szCs w:val="21"/>
        </w:rPr>
        <w:t>（项目编号：</w:t>
      </w:r>
      <w:r>
        <w:rPr>
          <w:rFonts w:hint="eastAsia" w:ascii="宋体" w:hAnsi="宋体"/>
          <w:b/>
          <w:bCs/>
          <w:color w:val="000000" w:themeColor="text1"/>
          <w:szCs w:val="21"/>
          <w:u w:val="single"/>
          <w:lang w:eastAsia="zh-CN"/>
        </w:rPr>
        <w:t>YJFY20250717</w:t>
      </w:r>
      <w:r>
        <w:rPr>
          <w:rFonts w:hint="eastAsia" w:ascii="宋体" w:hAnsi="宋体"/>
          <w:color w:val="000000"/>
          <w:szCs w:val="21"/>
        </w:rPr>
        <w:t>）采购活动提供本企业制造的货物，由本企业承担工程、 提供服务，或者提供其他__</w:t>
      </w:r>
      <w:r>
        <w:rPr>
          <w:rFonts w:hint="eastAsia" w:ascii="宋体" w:hAnsi="宋体"/>
          <w:color w:val="000000"/>
          <w:szCs w:val="21"/>
          <w:u w:val="single"/>
        </w:rPr>
        <w:t xml:space="preserve">  </w:t>
      </w:r>
      <w:r>
        <w:rPr>
          <w:rFonts w:hint="eastAsia" w:ascii="宋体" w:hAnsi="宋体"/>
          <w:color w:val="000000"/>
          <w:szCs w:val="21"/>
        </w:rPr>
        <w:t xml:space="preserve">____（请填写：中型、小型、微型）企业制造的货物。本条所称货物不包括使用大型企业注册商标的货物。 </w:t>
      </w:r>
    </w:p>
    <w:p>
      <w:pPr>
        <w:spacing w:line="360" w:lineRule="auto"/>
        <w:rPr>
          <w:rFonts w:ascii="宋体" w:hAnsi="宋体"/>
          <w:color w:val="000000"/>
          <w:szCs w:val="21"/>
        </w:rPr>
      </w:pPr>
      <w:r>
        <w:rPr>
          <w:rFonts w:hint="eastAsia" w:ascii="宋体" w:hAnsi="宋体"/>
          <w:color w:val="000000"/>
          <w:szCs w:val="21"/>
        </w:rPr>
        <w:t xml:space="preserve">    本公司对上述声明的真实性负责。如有虚假，将依法承担相应责任。</w:t>
      </w:r>
    </w:p>
    <w:p>
      <w:pPr>
        <w:spacing w:line="360" w:lineRule="auto"/>
        <w:jc w:val="center"/>
        <w:rPr>
          <w:rFonts w:ascii="宋体" w:hAnsi="宋体"/>
          <w:color w:val="000000"/>
          <w:szCs w:val="21"/>
        </w:rPr>
      </w:pPr>
      <w:r>
        <w:rPr>
          <w:rFonts w:hint="eastAsia" w:ascii="宋体" w:hAnsi="宋体"/>
          <w:color w:val="000000"/>
          <w:szCs w:val="21"/>
        </w:rPr>
        <w:t xml:space="preserve">                                   </w:t>
      </w:r>
    </w:p>
    <w:p>
      <w:pPr>
        <w:spacing w:line="360" w:lineRule="auto"/>
        <w:jc w:val="center"/>
        <w:rPr>
          <w:rFonts w:ascii="宋体" w:hAnsi="宋体"/>
          <w:color w:val="000000"/>
          <w:szCs w:val="21"/>
        </w:rPr>
      </w:pPr>
    </w:p>
    <w:p>
      <w:pPr>
        <w:pStyle w:val="61"/>
        <w:ind w:firstLine="400"/>
        <w:rPr>
          <w:rFonts w:ascii="宋体" w:hAnsi="宋体"/>
          <w:color w:val="000000"/>
          <w:szCs w:val="21"/>
        </w:rPr>
      </w:pPr>
    </w:p>
    <w:p>
      <w:pPr>
        <w:pStyle w:val="61"/>
        <w:ind w:firstLine="400"/>
        <w:rPr>
          <w:rFonts w:ascii="宋体" w:hAnsi="宋体"/>
          <w:color w:val="000000"/>
          <w:szCs w:val="21"/>
        </w:rPr>
      </w:pPr>
    </w:p>
    <w:p>
      <w:pPr>
        <w:pStyle w:val="61"/>
        <w:ind w:firstLine="400"/>
        <w:rPr>
          <w:rFonts w:ascii="宋体" w:hAnsi="宋体"/>
          <w:color w:val="000000"/>
          <w:szCs w:val="21"/>
        </w:rPr>
      </w:pPr>
    </w:p>
    <w:p>
      <w:pPr>
        <w:pStyle w:val="61"/>
        <w:ind w:firstLine="400"/>
        <w:rPr>
          <w:rFonts w:ascii="宋体" w:hAnsi="宋体"/>
          <w:color w:val="000000"/>
          <w:szCs w:val="21"/>
        </w:rPr>
      </w:pPr>
    </w:p>
    <w:p>
      <w:pPr>
        <w:pStyle w:val="61"/>
        <w:ind w:firstLine="400"/>
        <w:rPr>
          <w:rFonts w:ascii="宋体" w:hAnsi="宋体"/>
          <w:color w:val="000000"/>
          <w:szCs w:val="21"/>
        </w:rPr>
      </w:pPr>
    </w:p>
    <w:p>
      <w:pPr>
        <w:pStyle w:val="61"/>
        <w:ind w:firstLine="400"/>
        <w:rPr>
          <w:rFonts w:ascii="宋体" w:hAnsi="宋体"/>
          <w:color w:val="000000"/>
          <w:szCs w:val="21"/>
        </w:rPr>
      </w:pPr>
    </w:p>
    <w:p>
      <w:pPr>
        <w:spacing w:line="360" w:lineRule="auto"/>
        <w:jc w:val="center"/>
        <w:rPr>
          <w:rFonts w:ascii="宋体" w:hAnsi="宋体"/>
          <w:color w:val="000000"/>
          <w:szCs w:val="21"/>
        </w:rPr>
      </w:pPr>
      <w:r>
        <w:rPr>
          <w:rFonts w:hint="eastAsia" w:ascii="宋体" w:hAnsi="宋体"/>
          <w:color w:val="000000"/>
          <w:szCs w:val="21"/>
        </w:rPr>
        <w:t xml:space="preserve">                                  投 标 人（单位公章）:</w:t>
      </w:r>
    </w:p>
    <w:p>
      <w:pPr>
        <w:spacing w:line="360" w:lineRule="auto"/>
        <w:jc w:val="center"/>
        <w:rPr>
          <w:rFonts w:ascii="宋体" w:hAnsi="宋体"/>
          <w:color w:val="000000"/>
          <w:szCs w:val="21"/>
        </w:rPr>
      </w:pPr>
      <w:r>
        <w:rPr>
          <w:rFonts w:hint="eastAsia" w:ascii="宋体" w:hAnsi="宋体"/>
          <w:color w:val="000000"/>
          <w:szCs w:val="21"/>
        </w:rPr>
        <w:t xml:space="preserve">                                          日    期：    年    月    日</w:t>
      </w: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adjustRightInd w:val="0"/>
        <w:snapToGrid w:val="0"/>
        <w:spacing w:line="360" w:lineRule="auto"/>
        <w:rPr>
          <w:color w:val="000000"/>
        </w:rPr>
      </w:pPr>
      <w:r>
        <w:rPr>
          <w:rFonts w:hint="eastAsia" w:ascii="宋体" w:hAnsi="宋体"/>
          <w:color w:val="000000"/>
          <w:szCs w:val="21"/>
        </w:rPr>
        <w:t>说明：提供其他中小微企业制造的货物，必须同时提供该中小微企业的声明函。</w:t>
      </w: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8"/>
        <w:spacing w:line="360" w:lineRule="auto"/>
        <w:ind w:firstLine="0"/>
        <w:rPr>
          <w:rFonts w:hAnsi="宋体"/>
          <w:bCs/>
          <w:color w:val="000000" w:themeColor="text1"/>
          <w:szCs w:val="21"/>
        </w:rPr>
      </w:pPr>
    </w:p>
    <w:p>
      <w:pPr>
        <w:pStyle w:val="5"/>
        <w:numPr>
          <w:ilvl w:val="1"/>
          <w:numId w:val="0"/>
        </w:numPr>
        <w:tabs>
          <w:tab w:val="left" w:pos="420"/>
        </w:tabs>
        <w:spacing w:before="200" w:after="200" w:line="360" w:lineRule="auto"/>
        <w:ind w:left="420" w:hanging="420"/>
        <w:rPr>
          <w:rFonts w:ascii="宋体" w:hAnsi="宋体"/>
          <w:color w:val="000000" w:themeColor="text1"/>
        </w:rPr>
      </w:pPr>
      <w:bookmarkStart w:id="2207" w:name="_Toc83905606"/>
      <w:r>
        <w:rPr>
          <w:rFonts w:hint="eastAsia" w:ascii="宋体" w:hAnsi="宋体"/>
          <w:color w:val="000000" w:themeColor="text1"/>
          <w:sz w:val="28"/>
          <w:szCs w:val="28"/>
        </w:rPr>
        <w:t>附件八：业绩一览表</w:t>
      </w:r>
      <w:bookmarkEnd w:id="2207"/>
    </w:p>
    <w:p>
      <w:pPr>
        <w:pStyle w:val="8"/>
        <w:rPr>
          <w:color w:val="000000" w:themeColor="text1"/>
        </w:rPr>
      </w:pPr>
    </w:p>
    <w:p>
      <w:pPr>
        <w:pStyle w:val="8"/>
        <w:spacing w:line="360" w:lineRule="auto"/>
        <w:ind w:firstLine="0"/>
        <w:rPr>
          <w:b/>
          <w:bCs/>
          <w:color w:val="000000" w:themeColor="text1"/>
          <w:sz w:val="21"/>
          <w:szCs w:val="21"/>
        </w:rPr>
      </w:pPr>
      <w:r>
        <w:rPr>
          <w:rFonts w:hint="eastAsia"/>
          <w:b/>
          <w:bCs/>
          <w:color w:val="000000" w:themeColor="text1"/>
          <w:sz w:val="21"/>
          <w:szCs w:val="21"/>
        </w:rPr>
        <w:t xml:space="preserve">项目编号: </w:t>
      </w:r>
      <w:r>
        <w:rPr>
          <w:rFonts w:hint="eastAsia"/>
          <w:b/>
          <w:bCs/>
          <w:color w:val="000000" w:themeColor="text1"/>
          <w:sz w:val="21"/>
          <w:szCs w:val="21"/>
          <w:u w:val="single"/>
          <w:lang w:eastAsia="zh-CN"/>
        </w:rPr>
        <w:t>YJFY20250717</w:t>
      </w:r>
      <w:r>
        <w:rPr>
          <w:rFonts w:hint="eastAsia"/>
          <w:b/>
          <w:bCs/>
          <w:color w:val="000000" w:themeColor="text1"/>
          <w:sz w:val="21"/>
          <w:szCs w:val="21"/>
        </w:rPr>
        <w:t xml:space="preserve"> </w:t>
      </w:r>
    </w:p>
    <w:p>
      <w:pPr>
        <w:pStyle w:val="8"/>
        <w:ind w:firstLine="0"/>
        <w:rPr>
          <w:rFonts w:hint="eastAsia" w:eastAsia="宋体"/>
          <w:b/>
          <w:bCs/>
          <w:color w:val="000000" w:themeColor="text1"/>
          <w:sz w:val="21"/>
          <w:szCs w:val="21"/>
          <w:u w:val="single"/>
          <w:lang w:eastAsia="zh-CN"/>
        </w:rPr>
      </w:pPr>
      <w:r>
        <w:rPr>
          <w:rFonts w:hint="eastAsia"/>
          <w:b/>
          <w:bCs/>
          <w:color w:val="000000" w:themeColor="text1"/>
          <w:sz w:val="21"/>
          <w:szCs w:val="21"/>
        </w:rPr>
        <w:t>项目名称：</w:t>
      </w:r>
      <w:r>
        <w:rPr>
          <w:rFonts w:hint="eastAsia"/>
          <w:b/>
          <w:bCs/>
          <w:color w:val="000000" w:themeColor="text1"/>
          <w:sz w:val="21"/>
          <w:szCs w:val="21"/>
          <w:u w:val="single"/>
          <w:lang w:eastAsia="zh-CN"/>
        </w:rPr>
        <w:t>阳江市妇幼保健院一期特殊科室（手术室、NICU、产房、检验科PCR实验室、妇科门诊手术室）洁净区域维保服务采购项目</w:t>
      </w: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成交额（元）</w:t>
            </w:r>
          </w:p>
        </w:tc>
        <w:tc>
          <w:tcPr>
            <w:tcW w:w="1233"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8"/>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ind w:firstLine="0"/>
              <w:jc w:val="center"/>
              <w:rPr>
                <w:rFonts w:hAnsi="宋体"/>
                <w:bCs/>
                <w:color w:val="000000" w:themeColor="text1"/>
                <w:kern w:val="2"/>
                <w:sz w:val="21"/>
                <w:szCs w:val="24"/>
              </w:rPr>
            </w:pPr>
          </w:p>
        </w:tc>
        <w:tc>
          <w:tcPr>
            <w:tcW w:w="1215" w:type="dxa"/>
            <w:vAlign w:val="center"/>
          </w:tcPr>
          <w:p>
            <w:pPr>
              <w:pStyle w:val="8"/>
              <w:snapToGrid w:val="0"/>
              <w:ind w:firstLine="0"/>
              <w:jc w:val="center"/>
              <w:rPr>
                <w:rFonts w:hAnsi="宋体"/>
                <w:bCs/>
                <w:color w:val="000000" w:themeColor="text1"/>
                <w:kern w:val="2"/>
                <w:sz w:val="21"/>
                <w:szCs w:val="24"/>
              </w:rPr>
            </w:pPr>
          </w:p>
        </w:tc>
        <w:tc>
          <w:tcPr>
            <w:tcW w:w="1267" w:type="dxa"/>
            <w:vAlign w:val="center"/>
          </w:tcPr>
          <w:p>
            <w:pPr>
              <w:pStyle w:val="8"/>
              <w:snapToGrid w:val="0"/>
              <w:jc w:val="center"/>
              <w:rPr>
                <w:rFonts w:hAnsi="宋体"/>
                <w:bCs/>
                <w:color w:val="000000" w:themeColor="text1"/>
                <w:kern w:val="2"/>
                <w:sz w:val="21"/>
                <w:szCs w:val="24"/>
              </w:rPr>
            </w:pPr>
          </w:p>
        </w:tc>
        <w:tc>
          <w:tcPr>
            <w:tcW w:w="1117" w:type="dxa"/>
            <w:vAlign w:val="center"/>
          </w:tcPr>
          <w:p>
            <w:pPr>
              <w:pStyle w:val="8"/>
              <w:snapToGrid w:val="0"/>
              <w:ind w:firstLine="0"/>
              <w:jc w:val="center"/>
              <w:rPr>
                <w:rFonts w:hAnsi="宋体"/>
                <w:bCs/>
                <w:color w:val="000000" w:themeColor="text1"/>
                <w:kern w:val="2"/>
                <w:sz w:val="21"/>
                <w:szCs w:val="24"/>
              </w:rPr>
            </w:pPr>
          </w:p>
        </w:tc>
        <w:tc>
          <w:tcPr>
            <w:tcW w:w="1400" w:type="dxa"/>
            <w:vAlign w:val="center"/>
          </w:tcPr>
          <w:p>
            <w:pPr>
              <w:pStyle w:val="8"/>
              <w:snapToGrid w:val="0"/>
              <w:jc w:val="center"/>
              <w:rPr>
                <w:rFonts w:hAnsi="宋体"/>
                <w:bCs/>
                <w:color w:val="000000" w:themeColor="text1"/>
                <w:kern w:val="2"/>
                <w:sz w:val="21"/>
                <w:szCs w:val="24"/>
              </w:rPr>
            </w:pPr>
          </w:p>
        </w:tc>
        <w:tc>
          <w:tcPr>
            <w:tcW w:w="1233" w:type="dxa"/>
            <w:vAlign w:val="center"/>
          </w:tcPr>
          <w:p>
            <w:pPr>
              <w:pStyle w:val="8"/>
              <w:snapToGrid w:val="0"/>
              <w:jc w:val="center"/>
              <w:rPr>
                <w:rFonts w:hAnsi="宋体"/>
                <w:bCs/>
                <w:color w:val="000000" w:themeColor="text1"/>
                <w:kern w:val="2"/>
                <w:sz w:val="21"/>
                <w:szCs w:val="24"/>
              </w:rPr>
            </w:pPr>
          </w:p>
        </w:tc>
        <w:tc>
          <w:tcPr>
            <w:tcW w:w="1183" w:type="dxa"/>
            <w:vAlign w:val="center"/>
          </w:tcPr>
          <w:p>
            <w:pPr>
              <w:pStyle w:val="8"/>
              <w:snapToGrid w:val="0"/>
              <w:jc w:val="center"/>
              <w:rPr>
                <w:rFonts w:hAnsi="宋体"/>
                <w:bCs/>
                <w:color w:val="000000" w:themeColor="text1"/>
                <w:kern w:val="2"/>
                <w:sz w:val="21"/>
                <w:szCs w:val="24"/>
              </w:rPr>
            </w:pPr>
          </w:p>
        </w:tc>
        <w:tc>
          <w:tcPr>
            <w:tcW w:w="1220" w:type="dxa"/>
            <w:vAlign w:val="center"/>
          </w:tcPr>
          <w:p>
            <w:pPr>
              <w:pStyle w:val="8"/>
              <w:snapToGrid w:val="0"/>
              <w:jc w:val="center"/>
              <w:rPr>
                <w:rFonts w:hAnsi="宋体"/>
                <w:bCs/>
                <w:color w:val="000000" w:themeColor="text1"/>
                <w:kern w:val="2"/>
                <w:sz w:val="21"/>
                <w:szCs w:val="24"/>
              </w:rPr>
            </w:pPr>
          </w:p>
        </w:tc>
        <w:tc>
          <w:tcPr>
            <w:tcW w:w="817" w:type="dxa"/>
            <w:vAlign w:val="center"/>
          </w:tcPr>
          <w:p>
            <w:pPr>
              <w:pStyle w:val="8"/>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kern w:val="2"/>
                <w:sz w:val="21"/>
                <w:szCs w:val="24"/>
              </w:rPr>
            </w:pPr>
          </w:p>
        </w:tc>
        <w:tc>
          <w:tcPr>
            <w:tcW w:w="1215" w:type="dxa"/>
            <w:vAlign w:val="center"/>
          </w:tcPr>
          <w:p>
            <w:pPr>
              <w:pStyle w:val="8"/>
              <w:snapToGrid w:val="0"/>
              <w:jc w:val="center"/>
              <w:rPr>
                <w:rFonts w:hAnsi="宋体"/>
                <w:bCs/>
                <w:color w:val="000000" w:themeColor="text1"/>
                <w:kern w:val="2"/>
                <w:sz w:val="21"/>
                <w:szCs w:val="24"/>
              </w:rPr>
            </w:pPr>
          </w:p>
        </w:tc>
        <w:tc>
          <w:tcPr>
            <w:tcW w:w="1267" w:type="dxa"/>
            <w:vAlign w:val="center"/>
          </w:tcPr>
          <w:p>
            <w:pPr>
              <w:pStyle w:val="8"/>
              <w:snapToGrid w:val="0"/>
              <w:jc w:val="center"/>
              <w:rPr>
                <w:rFonts w:hAnsi="宋体"/>
                <w:bCs/>
                <w:color w:val="000000" w:themeColor="text1"/>
                <w:kern w:val="2"/>
                <w:sz w:val="21"/>
                <w:szCs w:val="24"/>
              </w:rPr>
            </w:pPr>
          </w:p>
        </w:tc>
        <w:tc>
          <w:tcPr>
            <w:tcW w:w="1117" w:type="dxa"/>
            <w:vAlign w:val="center"/>
          </w:tcPr>
          <w:p>
            <w:pPr>
              <w:pStyle w:val="8"/>
              <w:snapToGrid w:val="0"/>
              <w:jc w:val="center"/>
              <w:rPr>
                <w:rFonts w:hAnsi="宋体"/>
                <w:bCs/>
                <w:color w:val="000000" w:themeColor="text1"/>
                <w:kern w:val="2"/>
                <w:sz w:val="21"/>
                <w:szCs w:val="24"/>
              </w:rPr>
            </w:pPr>
          </w:p>
        </w:tc>
        <w:tc>
          <w:tcPr>
            <w:tcW w:w="1400" w:type="dxa"/>
            <w:vAlign w:val="center"/>
          </w:tcPr>
          <w:p>
            <w:pPr>
              <w:pStyle w:val="8"/>
              <w:snapToGrid w:val="0"/>
              <w:jc w:val="center"/>
              <w:rPr>
                <w:rFonts w:hAnsi="宋体"/>
                <w:bCs/>
                <w:color w:val="000000" w:themeColor="text1"/>
                <w:kern w:val="2"/>
                <w:sz w:val="21"/>
                <w:szCs w:val="24"/>
              </w:rPr>
            </w:pPr>
          </w:p>
        </w:tc>
        <w:tc>
          <w:tcPr>
            <w:tcW w:w="1233" w:type="dxa"/>
            <w:vAlign w:val="center"/>
          </w:tcPr>
          <w:p>
            <w:pPr>
              <w:pStyle w:val="8"/>
              <w:snapToGrid w:val="0"/>
              <w:jc w:val="center"/>
              <w:rPr>
                <w:rFonts w:hAnsi="宋体"/>
                <w:bCs/>
                <w:color w:val="000000" w:themeColor="text1"/>
                <w:kern w:val="2"/>
                <w:sz w:val="21"/>
                <w:szCs w:val="24"/>
              </w:rPr>
            </w:pPr>
          </w:p>
        </w:tc>
        <w:tc>
          <w:tcPr>
            <w:tcW w:w="1183" w:type="dxa"/>
            <w:vAlign w:val="center"/>
          </w:tcPr>
          <w:p>
            <w:pPr>
              <w:pStyle w:val="8"/>
              <w:snapToGrid w:val="0"/>
              <w:jc w:val="center"/>
              <w:rPr>
                <w:rFonts w:hAnsi="宋体"/>
                <w:bCs/>
                <w:color w:val="000000" w:themeColor="text1"/>
                <w:kern w:val="2"/>
                <w:sz w:val="21"/>
                <w:szCs w:val="24"/>
              </w:rPr>
            </w:pPr>
          </w:p>
        </w:tc>
        <w:tc>
          <w:tcPr>
            <w:tcW w:w="1220" w:type="dxa"/>
            <w:vAlign w:val="center"/>
          </w:tcPr>
          <w:p>
            <w:pPr>
              <w:pStyle w:val="8"/>
              <w:snapToGrid w:val="0"/>
              <w:jc w:val="center"/>
              <w:rPr>
                <w:rFonts w:hAnsi="宋体"/>
                <w:bCs/>
                <w:color w:val="000000" w:themeColor="text1"/>
                <w:kern w:val="2"/>
                <w:sz w:val="21"/>
                <w:szCs w:val="24"/>
              </w:rPr>
            </w:pPr>
          </w:p>
        </w:tc>
        <w:tc>
          <w:tcPr>
            <w:tcW w:w="817" w:type="dxa"/>
            <w:vAlign w:val="center"/>
          </w:tcPr>
          <w:p>
            <w:pPr>
              <w:pStyle w:val="8"/>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kern w:val="2"/>
                <w:sz w:val="21"/>
                <w:szCs w:val="24"/>
              </w:rPr>
            </w:pPr>
          </w:p>
        </w:tc>
        <w:tc>
          <w:tcPr>
            <w:tcW w:w="1215" w:type="dxa"/>
            <w:vAlign w:val="center"/>
          </w:tcPr>
          <w:p>
            <w:pPr>
              <w:pStyle w:val="8"/>
              <w:snapToGrid w:val="0"/>
              <w:jc w:val="center"/>
              <w:rPr>
                <w:rFonts w:hAnsi="宋体"/>
                <w:bCs/>
                <w:color w:val="000000" w:themeColor="text1"/>
                <w:kern w:val="2"/>
                <w:sz w:val="21"/>
                <w:szCs w:val="24"/>
              </w:rPr>
            </w:pPr>
          </w:p>
        </w:tc>
        <w:tc>
          <w:tcPr>
            <w:tcW w:w="1267" w:type="dxa"/>
            <w:vAlign w:val="center"/>
          </w:tcPr>
          <w:p>
            <w:pPr>
              <w:pStyle w:val="8"/>
              <w:snapToGrid w:val="0"/>
              <w:jc w:val="center"/>
              <w:rPr>
                <w:rFonts w:hAnsi="宋体"/>
                <w:bCs/>
                <w:color w:val="000000" w:themeColor="text1"/>
                <w:kern w:val="2"/>
                <w:sz w:val="21"/>
                <w:szCs w:val="24"/>
              </w:rPr>
            </w:pPr>
          </w:p>
        </w:tc>
        <w:tc>
          <w:tcPr>
            <w:tcW w:w="1117" w:type="dxa"/>
            <w:vAlign w:val="center"/>
          </w:tcPr>
          <w:p>
            <w:pPr>
              <w:pStyle w:val="8"/>
              <w:snapToGrid w:val="0"/>
              <w:jc w:val="center"/>
              <w:rPr>
                <w:rFonts w:hAnsi="宋体"/>
                <w:bCs/>
                <w:color w:val="000000" w:themeColor="text1"/>
                <w:kern w:val="2"/>
                <w:sz w:val="21"/>
                <w:szCs w:val="24"/>
              </w:rPr>
            </w:pPr>
          </w:p>
        </w:tc>
        <w:tc>
          <w:tcPr>
            <w:tcW w:w="1400" w:type="dxa"/>
            <w:vAlign w:val="center"/>
          </w:tcPr>
          <w:p>
            <w:pPr>
              <w:pStyle w:val="8"/>
              <w:snapToGrid w:val="0"/>
              <w:jc w:val="center"/>
              <w:rPr>
                <w:rFonts w:hAnsi="宋体"/>
                <w:bCs/>
                <w:color w:val="000000" w:themeColor="text1"/>
                <w:kern w:val="2"/>
                <w:sz w:val="21"/>
                <w:szCs w:val="24"/>
              </w:rPr>
            </w:pPr>
          </w:p>
        </w:tc>
        <w:tc>
          <w:tcPr>
            <w:tcW w:w="1233" w:type="dxa"/>
            <w:vAlign w:val="center"/>
          </w:tcPr>
          <w:p>
            <w:pPr>
              <w:pStyle w:val="8"/>
              <w:snapToGrid w:val="0"/>
              <w:jc w:val="center"/>
              <w:rPr>
                <w:rFonts w:hAnsi="宋体"/>
                <w:bCs/>
                <w:color w:val="000000" w:themeColor="text1"/>
                <w:kern w:val="2"/>
                <w:sz w:val="21"/>
                <w:szCs w:val="24"/>
              </w:rPr>
            </w:pPr>
          </w:p>
        </w:tc>
        <w:tc>
          <w:tcPr>
            <w:tcW w:w="1183" w:type="dxa"/>
            <w:vAlign w:val="center"/>
          </w:tcPr>
          <w:p>
            <w:pPr>
              <w:pStyle w:val="8"/>
              <w:snapToGrid w:val="0"/>
              <w:jc w:val="center"/>
              <w:rPr>
                <w:rFonts w:hAnsi="宋体"/>
                <w:bCs/>
                <w:color w:val="000000" w:themeColor="text1"/>
                <w:kern w:val="2"/>
                <w:sz w:val="21"/>
                <w:szCs w:val="24"/>
              </w:rPr>
            </w:pPr>
          </w:p>
        </w:tc>
        <w:tc>
          <w:tcPr>
            <w:tcW w:w="1220" w:type="dxa"/>
            <w:vAlign w:val="center"/>
          </w:tcPr>
          <w:p>
            <w:pPr>
              <w:pStyle w:val="8"/>
              <w:snapToGrid w:val="0"/>
              <w:jc w:val="center"/>
              <w:rPr>
                <w:rFonts w:hAnsi="宋体"/>
                <w:bCs/>
                <w:color w:val="000000" w:themeColor="text1"/>
                <w:kern w:val="2"/>
                <w:sz w:val="21"/>
                <w:szCs w:val="24"/>
              </w:rPr>
            </w:pPr>
          </w:p>
        </w:tc>
        <w:tc>
          <w:tcPr>
            <w:tcW w:w="817" w:type="dxa"/>
            <w:vAlign w:val="center"/>
          </w:tcPr>
          <w:p>
            <w:pPr>
              <w:pStyle w:val="8"/>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kern w:val="2"/>
                <w:sz w:val="21"/>
                <w:szCs w:val="24"/>
              </w:rPr>
            </w:pPr>
          </w:p>
        </w:tc>
        <w:tc>
          <w:tcPr>
            <w:tcW w:w="1215" w:type="dxa"/>
            <w:vAlign w:val="center"/>
          </w:tcPr>
          <w:p>
            <w:pPr>
              <w:pStyle w:val="8"/>
              <w:snapToGrid w:val="0"/>
              <w:jc w:val="center"/>
              <w:rPr>
                <w:rFonts w:hAnsi="宋体"/>
                <w:bCs/>
                <w:color w:val="000000" w:themeColor="text1"/>
                <w:kern w:val="2"/>
                <w:sz w:val="21"/>
                <w:szCs w:val="24"/>
              </w:rPr>
            </w:pPr>
          </w:p>
        </w:tc>
        <w:tc>
          <w:tcPr>
            <w:tcW w:w="1267" w:type="dxa"/>
            <w:vAlign w:val="center"/>
          </w:tcPr>
          <w:p>
            <w:pPr>
              <w:pStyle w:val="8"/>
              <w:snapToGrid w:val="0"/>
              <w:jc w:val="center"/>
              <w:rPr>
                <w:rFonts w:hAnsi="宋体"/>
                <w:bCs/>
                <w:color w:val="000000" w:themeColor="text1"/>
                <w:kern w:val="2"/>
                <w:sz w:val="21"/>
                <w:szCs w:val="24"/>
              </w:rPr>
            </w:pPr>
          </w:p>
        </w:tc>
        <w:tc>
          <w:tcPr>
            <w:tcW w:w="1117" w:type="dxa"/>
            <w:vAlign w:val="center"/>
          </w:tcPr>
          <w:p>
            <w:pPr>
              <w:pStyle w:val="8"/>
              <w:snapToGrid w:val="0"/>
              <w:jc w:val="center"/>
              <w:rPr>
                <w:rFonts w:hAnsi="宋体"/>
                <w:bCs/>
                <w:color w:val="000000" w:themeColor="text1"/>
                <w:kern w:val="2"/>
                <w:sz w:val="21"/>
                <w:szCs w:val="24"/>
              </w:rPr>
            </w:pPr>
          </w:p>
        </w:tc>
        <w:tc>
          <w:tcPr>
            <w:tcW w:w="1400" w:type="dxa"/>
            <w:vAlign w:val="center"/>
          </w:tcPr>
          <w:p>
            <w:pPr>
              <w:pStyle w:val="8"/>
              <w:snapToGrid w:val="0"/>
              <w:jc w:val="center"/>
              <w:rPr>
                <w:rFonts w:hAnsi="宋体"/>
                <w:bCs/>
                <w:color w:val="000000" w:themeColor="text1"/>
                <w:kern w:val="2"/>
                <w:sz w:val="21"/>
                <w:szCs w:val="24"/>
              </w:rPr>
            </w:pPr>
          </w:p>
        </w:tc>
        <w:tc>
          <w:tcPr>
            <w:tcW w:w="1233" w:type="dxa"/>
            <w:vAlign w:val="center"/>
          </w:tcPr>
          <w:p>
            <w:pPr>
              <w:pStyle w:val="8"/>
              <w:snapToGrid w:val="0"/>
              <w:jc w:val="center"/>
              <w:rPr>
                <w:rFonts w:hAnsi="宋体"/>
                <w:bCs/>
                <w:color w:val="000000" w:themeColor="text1"/>
                <w:kern w:val="2"/>
                <w:sz w:val="21"/>
                <w:szCs w:val="24"/>
              </w:rPr>
            </w:pPr>
          </w:p>
        </w:tc>
        <w:tc>
          <w:tcPr>
            <w:tcW w:w="1183" w:type="dxa"/>
            <w:vAlign w:val="center"/>
          </w:tcPr>
          <w:p>
            <w:pPr>
              <w:pStyle w:val="8"/>
              <w:snapToGrid w:val="0"/>
              <w:jc w:val="center"/>
              <w:rPr>
                <w:rFonts w:hAnsi="宋体"/>
                <w:bCs/>
                <w:color w:val="000000" w:themeColor="text1"/>
                <w:kern w:val="2"/>
                <w:sz w:val="21"/>
                <w:szCs w:val="24"/>
              </w:rPr>
            </w:pPr>
          </w:p>
        </w:tc>
        <w:tc>
          <w:tcPr>
            <w:tcW w:w="1220" w:type="dxa"/>
            <w:vAlign w:val="center"/>
          </w:tcPr>
          <w:p>
            <w:pPr>
              <w:pStyle w:val="8"/>
              <w:snapToGrid w:val="0"/>
              <w:jc w:val="center"/>
              <w:rPr>
                <w:rFonts w:hAnsi="宋体"/>
                <w:bCs/>
                <w:color w:val="000000" w:themeColor="text1"/>
                <w:kern w:val="2"/>
                <w:sz w:val="21"/>
                <w:szCs w:val="24"/>
              </w:rPr>
            </w:pPr>
          </w:p>
        </w:tc>
        <w:tc>
          <w:tcPr>
            <w:tcW w:w="817" w:type="dxa"/>
            <w:vAlign w:val="center"/>
          </w:tcPr>
          <w:p>
            <w:pPr>
              <w:pStyle w:val="8"/>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kern w:val="2"/>
                <w:sz w:val="21"/>
                <w:szCs w:val="24"/>
              </w:rPr>
            </w:pPr>
          </w:p>
        </w:tc>
        <w:tc>
          <w:tcPr>
            <w:tcW w:w="1215" w:type="dxa"/>
            <w:vAlign w:val="center"/>
          </w:tcPr>
          <w:p>
            <w:pPr>
              <w:pStyle w:val="8"/>
              <w:snapToGrid w:val="0"/>
              <w:jc w:val="center"/>
              <w:rPr>
                <w:rFonts w:hAnsi="宋体"/>
                <w:bCs/>
                <w:color w:val="000000" w:themeColor="text1"/>
                <w:kern w:val="2"/>
                <w:sz w:val="21"/>
                <w:szCs w:val="24"/>
              </w:rPr>
            </w:pPr>
          </w:p>
        </w:tc>
        <w:tc>
          <w:tcPr>
            <w:tcW w:w="1267" w:type="dxa"/>
            <w:vAlign w:val="center"/>
          </w:tcPr>
          <w:p>
            <w:pPr>
              <w:pStyle w:val="8"/>
              <w:snapToGrid w:val="0"/>
              <w:jc w:val="center"/>
              <w:rPr>
                <w:rFonts w:hAnsi="宋体"/>
                <w:bCs/>
                <w:color w:val="000000" w:themeColor="text1"/>
                <w:kern w:val="2"/>
                <w:sz w:val="21"/>
                <w:szCs w:val="24"/>
              </w:rPr>
            </w:pPr>
          </w:p>
        </w:tc>
        <w:tc>
          <w:tcPr>
            <w:tcW w:w="1117" w:type="dxa"/>
            <w:vAlign w:val="center"/>
          </w:tcPr>
          <w:p>
            <w:pPr>
              <w:pStyle w:val="8"/>
              <w:snapToGrid w:val="0"/>
              <w:jc w:val="center"/>
              <w:rPr>
                <w:rFonts w:hAnsi="宋体"/>
                <w:bCs/>
                <w:color w:val="000000" w:themeColor="text1"/>
                <w:kern w:val="2"/>
                <w:sz w:val="21"/>
                <w:szCs w:val="24"/>
              </w:rPr>
            </w:pPr>
          </w:p>
        </w:tc>
        <w:tc>
          <w:tcPr>
            <w:tcW w:w="1400" w:type="dxa"/>
            <w:vAlign w:val="center"/>
          </w:tcPr>
          <w:p>
            <w:pPr>
              <w:pStyle w:val="8"/>
              <w:snapToGrid w:val="0"/>
              <w:jc w:val="center"/>
              <w:rPr>
                <w:rFonts w:hAnsi="宋体"/>
                <w:bCs/>
                <w:color w:val="000000" w:themeColor="text1"/>
                <w:kern w:val="2"/>
                <w:sz w:val="21"/>
                <w:szCs w:val="24"/>
              </w:rPr>
            </w:pPr>
          </w:p>
        </w:tc>
        <w:tc>
          <w:tcPr>
            <w:tcW w:w="1233" w:type="dxa"/>
            <w:vAlign w:val="center"/>
          </w:tcPr>
          <w:p>
            <w:pPr>
              <w:pStyle w:val="8"/>
              <w:snapToGrid w:val="0"/>
              <w:jc w:val="center"/>
              <w:rPr>
                <w:rFonts w:hAnsi="宋体"/>
                <w:bCs/>
                <w:color w:val="000000" w:themeColor="text1"/>
                <w:kern w:val="2"/>
                <w:sz w:val="21"/>
                <w:szCs w:val="24"/>
              </w:rPr>
            </w:pPr>
          </w:p>
        </w:tc>
        <w:tc>
          <w:tcPr>
            <w:tcW w:w="1183" w:type="dxa"/>
            <w:vAlign w:val="center"/>
          </w:tcPr>
          <w:p>
            <w:pPr>
              <w:pStyle w:val="8"/>
              <w:snapToGrid w:val="0"/>
              <w:jc w:val="center"/>
              <w:rPr>
                <w:rFonts w:hAnsi="宋体"/>
                <w:bCs/>
                <w:color w:val="000000" w:themeColor="text1"/>
                <w:kern w:val="2"/>
                <w:sz w:val="21"/>
                <w:szCs w:val="24"/>
              </w:rPr>
            </w:pPr>
          </w:p>
        </w:tc>
        <w:tc>
          <w:tcPr>
            <w:tcW w:w="1220" w:type="dxa"/>
            <w:vAlign w:val="center"/>
          </w:tcPr>
          <w:p>
            <w:pPr>
              <w:pStyle w:val="8"/>
              <w:snapToGrid w:val="0"/>
              <w:jc w:val="center"/>
              <w:rPr>
                <w:rFonts w:hAnsi="宋体"/>
                <w:bCs/>
                <w:color w:val="000000" w:themeColor="text1"/>
                <w:kern w:val="2"/>
                <w:sz w:val="21"/>
                <w:szCs w:val="24"/>
              </w:rPr>
            </w:pPr>
          </w:p>
        </w:tc>
        <w:tc>
          <w:tcPr>
            <w:tcW w:w="817" w:type="dxa"/>
            <w:vAlign w:val="center"/>
          </w:tcPr>
          <w:p>
            <w:pPr>
              <w:pStyle w:val="8"/>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kern w:val="2"/>
                <w:sz w:val="21"/>
                <w:szCs w:val="24"/>
              </w:rPr>
            </w:pPr>
          </w:p>
        </w:tc>
        <w:tc>
          <w:tcPr>
            <w:tcW w:w="1215" w:type="dxa"/>
            <w:vAlign w:val="center"/>
          </w:tcPr>
          <w:p>
            <w:pPr>
              <w:pStyle w:val="8"/>
              <w:snapToGrid w:val="0"/>
              <w:jc w:val="center"/>
              <w:rPr>
                <w:rFonts w:hAnsi="宋体"/>
                <w:bCs/>
                <w:color w:val="000000" w:themeColor="text1"/>
                <w:kern w:val="2"/>
                <w:sz w:val="21"/>
                <w:szCs w:val="24"/>
              </w:rPr>
            </w:pPr>
          </w:p>
        </w:tc>
        <w:tc>
          <w:tcPr>
            <w:tcW w:w="1267" w:type="dxa"/>
            <w:vAlign w:val="center"/>
          </w:tcPr>
          <w:p>
            <w:pPr>
              <w:pStyle w:val="8"/>
              <w:snapToGrid w:val="0"/>
              <w:jc w:val="center"/>
              <w:rPr>
                <w:rFonts w:hAnsi="宋体"/>
                <w:bCs/>
                <w:color w:val="000000" w:themeColor="text1"/>
                <w:kern w:val="2"/>
                <w:sz w:val="21"/>
                <w:szCs w:val="24"/>
              </w:rPr>
            </w:pPr>
          </w:p>
        </w:tc>
        <w:tc>
          <w:tcPr>
            <w:tcW w:w="1117" w:type="dxa"/>
            <w:vAlign w:val="center"/>
          </w:tcPr>
          <w:p>
            <w:pPr>
              <w:pStyle w:val="8"/>
              <w:snapToGrid w:val="0"/>
              <w:jc w:val="center"/>
              <w:rPr>
                <w:rFonts w:hAnsi="宋体"/>
                <w:bCs/>
                <w:color w:val="000000" w:themeColor="text1"/>
                <w:kern w:val="2"/>
                <w:sz w:val="21"/>
                <w:szCs w:val="24"/>
              </w:rPr>
            </w:pPr>
          </w:p>
        </w:tc>
        <w:tc>
          <w:tcPr>
            <w:tcW w:w="1400" w:type="dxa"/>
            <w:vAlign w:val="center"/>
          </w:tcPr>
          <w:p>
            <w:pPr>
              <w:pStyle w:val="8"/>
              <w:snapToGrid w:val="0"/>
              <w:jc w:val="center"/>
              <w:rPr>
                <w:rFonts w:hAnsi="宋体"/>
                <w:bCs/>
                <w:color w:val="000000" w:themeColor="text1"/>
                <w:kern w:val="2"/>
                <w:sz w:val="21"/>
                <w:szCs w:val="24"/>
              </w:rPr>
            </w:pPr>
          </w:p>
        </w:tc>
        <w:tc>
          <w:tcPr>
            <w:tcW w:w="1233" w:type="dxa"/>
            <w:vAlign w:val="center"/>
          </w:tcPr>
          <w:p>
            <w:pPr>
              <w:pStyle w:val="8"/>
              <w:snapToGrid w:val="0"/>
              <w:jc w:val="center"/>
              <w:rPr>
                <w:rFonts w:hAnsi="宋体"/>
                <w:bCs/>
                <w:color w:val="000000" w:themeColor="text1"/>
                <w:kern w:val="2"/>
                <w:sz w:val="21"/>
                <w:szCs w:val="24"/>
              </w:rPr>
            </w:pPr>
          </w:p>
        </w:tc>
        <w:tc>
          <w:tcPr>
            <w:tcW w:w="1183" w:type="dxa"/>
            <w:vAlign w:val="center"/>
          </w:tcPr>
          <w:p>
            <w:pPr>
              <w:pStyle w:val="8"/>
              <w:snapToGrid w:val="0"/>
              <w:jc w:val="center"/>
              <w:rPr>
                <w:rFonts w:hAnsi="宋体"/>
                <w:bCs/>
                <w:color w:val="000000" w:themeColor="text1"/>
                <w:kern w:val="2"/>
                <w:sz w:val="21"/>
                <w:szCs w:val="24"/>
              </w:rPr>
            </w:pPr>
          </w:p>
        </w:tc>
        <w:tc>
          <w:tcPr>
            <w:tcW w:w="1220" w:type="dxa"/>
            <w:vAlign w:val="center"/>
          </w:tcPr>
          <w:p>
            <w:pPr>
              <w:pStyle w:val="8"/>
              <w:snapToGrid w:val="0"/>
              <w:jc w:val="center"/>
              <w:rPr>
                <w:rFonts w:hAnsi="宋体"/>
                <w:bCs/>
                <w:color w:val="000000" w:themeColor="text1"/>
                <w:kern w:val="2"/>
                <w:sz w:val="21"/>
                <w:szCs w:val="24"/>
              </w:rPr>
            </w:pPr>
          </w:p>
        </w:tc>
        <w:tc>
          <w:tcPr>
            <w:tcW w:w="817" w:type="dxa"/>
            <w:vAlign w:val="center"/>
          </w:tcPr>
          <w:p>
            <w:pPr>
              <w:pStyle w:val="8"/>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8"/>
              <w:snapToGrid w:val="0"/>
              <w:jc w:val="center"/>
              <w:rPr>
                <w:rFonts w:hAnsi="宋体"/>
                <w:bCs/>
                <w:color w:val="000000" w:themeColor="text1"/>
                <w:kern w:val="2"/>
                <w:sz w:val="21"/>
                <w:szCs w:val="24"/>
              </w:rPr>
            </w:pPr>
          </w:p>
        </w:tc>
        <w:tc>
          <w:tcPr>
            <w:tcW w:w="1215" w:type="dxa"/>
            <w:vAlign w:val="center"/>
          </w:tcPr>
          <w:p>
            <w:pPr>
              <w:pStyle w:val="8"/>
              <w:snapToGrid w:val="0"/>
              <w:jc w:val="center"/>
              <w:rPr>
                <w:rFonts w:hAnsi="宋体"/>
                <w:bCs/>
                <w:color w:val="000000" w:themeColor="text1"/>
                <w:kern w:val="2"/>
                <w:sz w:val="21"/>
                <w:szCs w:val="24"/>
              </w:rPr>
            </w:pPr>
          </w:p>
        </w:tc>
        <w:tc>
          <w:tcPr>
            <w:tcW w:w="1267" w:type="dxa"/>
            <w:vAlign w:val="center"/>
          </w:tcPr>
          <w:p>
            <w:pPr>
              <w:pStyle w:val="8"/>
              <w:snapToGrid w:val="0"/>
              <w:jc w:val="center"/>
              <w:rPr>
                <w:rFonts w:hAnsi="宋体"/>
                <w:bCs/>
                <w:color w:val="000000" w:themeColor="text1"/>
                <w:kern w:val="2"/>
                <w:sz w:val="21"/>
                <w:szCs w:val="24"/>
              </w:rPr>
            </w:pPr>
          </w:p>
        </w:tc>
        <w:tc>
          <w:tcPr>
            <w:tcW w:w="1117" w:type="dxa"/>
            <w:vAlign w:val="center"/>
          </w:tcPr>
          <w:p>
            <w:pPr>
              <w:pStyle w:val="8"/>
              <w:snapToGrid w:val="0"/>
              <w:jc w:val="center"/>
              <w:rPr>
                <w:rFonts w:hAnsi="宋体"/>
                <w:bCs/>
                <w:color w:val="000000" w:themeColor="text1"/>
                <w:kern w:val="2"/>
                <w:sz w:val="21"/>
                <w:szCs w:val="24"/>
              </w:rPr>
            </w:pPr>
          </w:p>
        </w:tc>
        <w:tc>
          <w:tcPr>
            <w:tcW w:w="1400" w:type="dxa"/>
            <w:vAlign w:val="center"/>
          </w:tcPr>
          <w:p>
            <w:pPr>
              <w:pStyle w:val="8"/>
              <w:snapToGrid w:val="0"/>
              <w:jc w:val="center"/>
              <w:rPr>
                <w:rFonts w:hAnsi="宋体"/>
                <w:bCs/>
                <w:color w:val="000000" w:themeColor="text1"/>
                <w:kern w:val="2"/>
                <w:sz w:val="21"/>
                <w:szCs w:val="24"/>
              </w:rPr>
            </w:pPr>
          </w:p>
        </w:tc>
        <w:tc>
          <w:tcPr>
            <w:tcW w:w="1233" w:type="dxa"/>
            <w:vAlign w:val="center"/>
          </w:tcPr>
          <w:p>
            <w:pPr>
              <w:pStyle w:val="8"/>
              <w:snapToGrid w:val="0"/>
              <w:jc w:val="center"/>
              <w:rPr>
                <w:rFonts w:hAnsi="宋体"/>
                <w:bCs/>
                <w:color w:val="000000" w:themeColor="text1"/>
                <w:kern w:val="2"/>
                <w:sz w:val="21"/>
                <w:szCs w:val="24"/>
              </w:rPr>
            </w:pPr>
          </w:p>
        </w:tc>
        <w:tc>
          <w:tcPr>
            <w:tcW w:w="1183" w:type="dxa"/>
            <w:vAlign w:val="center"/>
          </w:tcPr>
          <w:p>
            <w:pPr>
              <w:pStyle w:val="8"/>
              <w:snapToGrid w:val="0"/>
              <w:jc w:val="center"/>
              <w:rPr>
                <w:rFonts w:hAnsi="宋体"/>
                <w:bCs/>
                <w:color w:val="000000" w:themeColor="text1"/>
                <w:kern w:val="2"/>
                <w:sz w:val="21"/>
                <w:szCs w:val="24"/>
              </w:rPr>
            </w:pPr>
          </w:p>
        </w:tc>
        <w:tc>
          <w:tcPr>
            <w:tcW w:w="1220" w:type="dxa"/>
            <w:vAlign w:val="center"/>
          </w:tcPr>
          <w:p>
            <w:pPr>
              <w:pStyle w:val="8"/>
              <w:snapToGrid w:val="0"/>
              <w:jc w:val="center"/>
              <w:rPr>
                <w:rFonts w:hAnsi="宋体"/>
                <w:bCs/>
                <w:color w:val="000000" w:themeColor="text1"/>
                <w:kern w:val="2"/>
                <w:sz w:val="21"/>
                <w:szCs w:val="24"/>
              </w:rPr>
            </w:pPr>
          </w:p>
        </w:tc>
        <w:tc>
          <w:tcPr>
            <w:tcW w:w="817" w:type="dxa"/>
            <w:vAlign w:val="center"/>
          </w:tcPr>
          <w:p>
            <w:pPr>
              <w:pStyle w:val="8"/>
              <w:snapToGrid w:val="0"/>
              <w:jc w:val="center"/>
              <w:rPr>
                <w:rFonts w:hAnsi="宋体"/>
                <w:bCs/>
                <w:color w:val="000000" w:themeColor="text1"/>
                <w:kern w:val="2"/>
                <w:sz w:val="21"/>
                <w:szCs w:val="24"/>
              </w:rPr>
            </w:pPr>
          </w:p>
        </w:tc>
      </w:tr>
    </w:tbl>
    <w:p>
      <w:pPr>
        <w:pStyle w:val="8"/>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8"/>
        <w:ind w:firstLine="0"/>
        <w:rPr>
          <w:rFonts w:hAnsi="宋体"/>
          <w:bCs/>
          <w:color w:val="000000" w:themeColor="text1"/>
          <w:sz w:val="21"/>
        </w:rPr>
      </w:pPr>
    </w:p>
    <w:p>
      <w:pPr>
        <w:pStyle w:val="8"/>
        <w:ind w:firstLine="0"/>
        <w:rPr>
          <w:rFonts w:hAnsi="宋体"/>
          <w:bCs/>
          <w:color w:val="000000" w:themeColor="text1"/>
          <w:sz w:val="21"/>
        </w:rPr>
      </w:pPr>
    </w:p>
    <w:p>
      <w:pPr>
        <w:pStyle w:val="8"/>
        <w:ind w:firstLine="0"/>
        <w:rPr>
          <w:rFonts w:hAnsi="宋体"/>
          <w:bCs/>
          <w:color w:val="000000" w:themeColor="text1"/>
          <w:sz w:val="21"/>
        </w:rPr>
      </w:pPr>
    </w:p>
    <w:p>
      <w:pPr>
        <w:pStyle w:val="8"/>
        <w:ind w:firstLine="0"/>
        <w:rPr>
          <w:rFonts w:hAnsi="宋体"/>
          <w:bCs/>
          <w:color w:val="000000" w:themeColor="text1"/>
          <w:sz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 xml:space="preserve">投标人法定代表人（负责人）或授权代理人（签字）： </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投标人名称（加盖公章）：</w:t>
      </w:r>
      <w:r>
        <w:rPr>
          <w:rFonts w:hint="eastAsia" w:ascii="宋体" w:hAnsi="宋体"/>
          <w:bCs/>
          <w:color w:val="000000" w:themeColor="text1"/>
          <w:szCs w:val="21"/>
          <w:u w:val="single"/>
        </w:rPr>
        <w:t xml:space="preserve">                                       </w:t>
      </w:r>
      <w:r>
        <w:rPr>
          <w:rFonts w:ascii="宋体" w:hAnsi="宋体"/>
          <w:bCs/>
          <w:color w:val="000000" w:themeColor="text1"/>
          <w:szCs w:val="21"/>
        </w:rPr>
        <w:t xml:space="preserve"> </w:t>
      </w:r>
    </w:p>
    <w:p>
      <w:pPr>
        <w:pStyle w:val="8"/>
        <w:ind w:firstLine="0"/>
        <w:rPr>
          <w:rFonts w:hAnsi="宋体"/>
          <w:bCs/>
          <w:color w:val="000000" w:themeColor="text1"/>
          <w:sz w:val="21"/>
          <w:szCs w:val="21"/>
        </w:rPr>
      </w:pPr>
      <w:r>
        <w:rPr>
          <w:rFonts w:hint="eastAsia" w:hAnsi="宋体"/>
          <w:bCs/>
          <w:color w:val="000000" w:themeColor="text1"/>
          <w:sz w:val="21"/>
          <w:szCs w:val="21"/>
        </w:rPr>
        <w:t>日期：</w:t>
      </w:r>
      <w:r>
        <w:rPr>
          <w:rFonts w:hAnsi="宋体"/>
          <w:bCs/>
          <w:color w:val="000000" w:themeColor="text1"/>
          <w:sz w:val="21"/>
          <w:szCs w:val="21"/>
          <w:u w:val="single"/>
        </w:rPr>
        <w:t xml:space="preserve">    </w:t>
      </w:r>
      <w:r>
        <w:rPr>
          <w:rFonts w:hint="eastAsia" w:hAnsi="宋体"/>
          <w:bCs/>
          <w:color w:val="000000" w:themeColor="text1"/>
          <w:sz w:val="21"/>
          <w:szCs w:val="21"/>
          <w:u w:val="single"/>
        </w:rPr>
        <w:t xml:space="preserve">  </w:t>
      </w:r>
      <w:r>
        <w:rPr>
          <w:rFonts w:hAnsi="宋体"/>
          <w:bCs/>
          <w:color w:val="000000" w:themeColor="text1"/>
          <w:sz w:val="21"/>
          <w:szCs w:val="21"/>
          <w:u w:val="single"/>
        </w:rPr>
        <w:t xml:space="preserve"> </w:t>
      </w:r>
      <w:r>
        <w:rPr>
          <w:rFonts w:hAnsi="宋体"/>
          <w:bCs/>
          <w:color w:val="000000" w:themeColor="text1"/>
          <w:sz w:val="21"/>
          <w:szCs w:val="21"/>
        </w:rPr>
        <w:t xml:space="preserve"> </w:t>
      </w:r>
      <w:r>
        <w:rPr>
          <w:rFonts w:hint="eastAsia" w:hAnsi="宋体"/>
          <w:bCs/>
          <w:color w:val="000000" w:themeColor="text1"/>
          <w:sz w:val="21"/>
          <w:szCs w:val="21"/>
        </w:rPr>
        <w:t>年</w:t>
      </w:r>
      <w:r>
        <w:rPr>
          <w:rFonts w:hAnsi="宋体"/>
          <w:bCs/>
          <w:color w:val="000000" w:themeColor="text1"/>
          <w:sz w:val="21"/>
          <w:szCs w:val="21"/>
          <w:u w:val="single"/>
        </w:rPr>
        <w:t xml:space="preserve">     </w:t>
      </w:r>
      <w:r>
        <w:rPr>
          <w:rFonts w:hint="eastAsia" w:hAnsi="宋体"/>
          <w:bCs/>
          <w:color w:val="000000" w:themeColor="text1"/>
          <w:sz w:val="21"/>
          <w:szCs w:val="21"/>
        </w:rPr>
        <w:t>月</w:t>
      </w:r>
      <w:r>
        <w:rPr>
          <w:rFonts w:hAnsi="宋体"/>
          <w:bCs/>
          <w:color w:val="000000" w:themeColor="text1"/>
          <w:sz w:val="21"/>
          <w:szCs w:val="21"/>
        </w:rPr>
        <w:t xml:space="preserve"> </w:t>
      </w:r>
      <w:r>
        <w:rPr>
          <w:rFonts w:hAnsi="宋体"/>
          <w:bCs/>
          <w:color w:val="000000" w:themeColor="text1"/>
          <w:sz w:val="21"/>
          <w:szCs w:val="21"/>
          <w:u w:val="single"/>
        </w:rPr>
        <w:t xml:space="preserve">    </w:t>
      </w:r>
      <w:r>
        <w:rPr>
          <w:rFonts w:hint="eastAsia" w:hAnsi="宋体"/>
          <w:bCs/>
          <w:color w:val="000000" w:themeColor="text1"/>
          <w:sz w:val="21"/>
          <w:szCs w:val="21"/>
        </w:rPr>
        <w:t>日</w:t>
      </w:r>
    </w:p>
    <w:p>
      <w:pPr>
        <w:pStyle w:val="8"/>
        <w:ind w:firstLine="0"/>
        <w:rPr>
          <w:rFonts w:hAnsi="宋体"/>
          <w:bCs/>
          <w:color w:val="000000" w:themeColor="text1"/>
          <w:sz w:val="21"/>
          <w:szCs w:val="21"/>
        </w:rPr>
      </w:pPr>
    </w:p>
    <w:p>
      <w:pPr>
        <w:pStyle w:val="8"/>
        <w:ind w:firstLine="0"/>
        <w:rPr>
          <w:rFonts w:hAnsi="宋体"/>
          <w:bCs/>
          <w:color w:val="000000" w:themeColor="text1"/>
          <w:sz w:val="21"/>
          <w:szCs w:val="21"/>
        </w:rPr>
      </w:pPr>
    </w:p>
    <w:p>
      <w:pPr>
        <w:pStyle w:val="8"/>
        <w:ind w:firstLine="0"/>
        <w:rPr>
          <w:rFonts w:hAnsi="宋体"/>
          <w:bCs/>
          <w:color w:val="000000" w:themeColor="text1"/>
          <w:sz w:val="21"/>
          <w:szCs w:val="21"/>
        </w:rPr>
      </w:pPr>
    </w:p>
    <w:p>
      <w:pPr>
        <w:pStyle w:val="8"/>
        <w:ind w:firstLine="0"/>
        <w:rPr>
          <w:rFonts w:hAnsi="宋体"/>
          <w:bCs/>
          <w:color w:val="000000" w:themeColor="text1"/>
          <w:sz w:val="21"/>
          <w:szCs w:val="21"/>
        </w:rPr>
      </w:pPr>
    </w:p>
    <w:p>
      <w:pPr>
        <w:pStyle w:val="8"/>
        <w:ind w:firstLine="0"/>
        <w:rPr>
          <w:rFonts w:hAnsi="宋体"/>
          <w:bCs/>
          <w:color w:val="000000" w:themeColor="text1"/>
          <w:sz w:val="21"/>
          <w:szCs w:val="21"/>
        </w:rPr>
      </w:pPr>
    </w:p>
    <w:p>
      <w:pPr>
        <w:pStyle w:val="8"/>
        <w:ind w:firstLine="0"/>
        <w:rPr>
          <w:rFonts w:hAnsi="宋体"/>
          <w:bCs/>
          <w:color w:val="000000" w:themeColor="text1"/>
          <w:sz w:val="21"/>
          <w:szCs w:val="21"/>
        </w:rPr>
      </w:pPr>
    </w:p>
    <w:p>
      <w:pPr>
        <w:pStyle w:val="8"/>
        <w:ind w:firstLine="0"/>
        <w:rPr>
          <w:rFonts w:hAnsi="宋体"/>
          <w:bCs/>
          <w:color w:val="000000" w:themeColor="text1"/>
          <w:sz w:val="21"/>
          <w:szCs w:val="21"/>
        </w:rPr>
      </w:pPr>
    </w:p>
    <w:p>
      <w:pPr>
        <w:pStyle w:val="8"/>
        <w:ind w:firstLine="0"/>
        <w:rPr>
          <w:rFonts w:hAnsi="宋体"/>
          <w:bCs/>
          <w:color w:val="000000" w:themeColor="text1"/>
          <w:sz w:val="21"/>
          <w:szCs w:val="21"/>
        </w:rPr>
        <w:sectPr>
          <w:pgSz w:w="11906" w:h="16838"/>
          <w:pgMar w:top="1418" w:right="1474" w:bottom="1418" w:left="1474" w:header="851" w:footer="992" w:gutter="0"/>
          <w:cols w:space="720" w:num="1"/>
          <w:docGrid w:linePitch="312" w:charSpace="0"/>
        </w:sectPr>
      </w:pPr>
    </w:p>
    <w:p>
      <w:pPr>
        <w:pStyle w:val="5"/>
        <w:numPr>
          <w:ilvl w:val="1"/>
          <w:numId w:val="0"/>
        </w:numPr>
        <w:spacing w:line="360" w:lineRule="auto"/>
        <w:rPr>
          <w:rFonts w:ascii="宋体" w:hAnsi="宋体"/>
          <w:color w:val="000000" w:themeColor="text1"/>
          <w:sz w:val="28"/>
          <w:szCs w:val="28"/>
        </w:rPr>
      </w:pPr>
      <w:bookmarkStart w:id="2208" w:name="_Toc469160805"/>
      <w:bookmarkStart w:id="2209" w:name="_Toc200414535"/>
      <w:bookmarkStart w:id="2210" w:name="_Toc83905607"/>
      <w:r>
        <w:rPr>
          <w:rFonts w:hint="eastAsia" w:ascii="宋体" w:hAnsi="宋体"/>
          <w:color w:val="000000" w:themeColor="text1"/>
          <w:sz w:val="28"/>
          <w:szCs w:val="28"/>
        </w:rPr>
        <w:t>附件九：</w:t>
      </w:r>
      <w:bookmarkEnd w:id="2208"/>
      <w:bookmarkEnd w:id="2209"/>
      <w:r>
        <w:rPr>
          <w:rFonts w:hint="eastAsia"/>
          <w:color w:val="000000"/>
          <w:sz w:val="28"/>
          <w:szCs w:val="28"/>
        </w:rPr>
        <w:t>供应商</w:t>
      </w:r>
      <w:r>
        <w:rPr>
          <w:rFonts w:hint="eastAsia" w:ascii="宋体" w:hAnsi="宋体"/>
          <w:color w:val="000000"/>
          <w:sz w:val="28"/>
          <w:szCs w:val="28"/>
        </w:rPr>
        <w:t>提交的其它商务和技术资料</w:t>
      </w:r>
      <w:bookmarkEnd w:id="2210"/>
    </w:p>
    <w:p>
      <w:pPr>
        <w:adjustRightInd w:val="0"/>
        <w:snapToGrid w:val="0"/>
        <w:spacing w:line="360" w:lineRule="auto"/>
        <w:jc w:val="left"/>
        <w:rPr>
          <w:rFonts w:ascii="宋体" w:hAnsi="宋体"/>
          <w:b/>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szCs w:val="21"/>
          <w:u w:val="single"/>
        </w:rPr>
        <w:t xml:space="preserve"> </w:t>
      </w:r>
      <w:r>
        <w:rPr>
          <w:rFonts w:hint="eastAsia" w:ascii="宋体" w:hAnsi="宋体"/>
          <w:b/>
          <w:bCs/>
          <w:color w:val="000000" w:themeColor="text1"/>
          <w:szCs w:val="21"/>
          <w:u w:val="single"/>
          <w:lang w:eastAsia="zh-CN"/>
        </w:rPr>
        <w:t>YJFY20250717</w:t>
      </w:r>
      <w:r>
        <w:rPr>
          <w:rFonts w:hint="eastAsia" w:ascii="宋体" w:hAnsi="宋体"/>
          <w:b/>
          <w:bCs/>
          <w:caps/>
          <w:color w:val="000000" w:themeColor="text1"/>
          <w:szCs w:val="21"/>
          <w:u w:val="single"/>
        </w:rPr>
        <w:t xml:space="preserve"> </w:t>
      </w:r>
    </w:p>
    <w:p>
      <w:pPr>
        <w:adjustRightInd w:val="0"/>
        <w:snapToGrid w:val="0"/>
        <w:spacing w:line="360" w:lineRule="auto"/>
        <w:jc w:val="left"/>
        <w:rPr>
          <w:rFonts w:ascii="宋体" w:hAnsi="宋体"/>
          <w:bCs/>
          <w:color w:val="000000" w:themeColor="text1"/>
          <w:szCs w:val="21"/>
        </w:rPr>
      </w:pPr>
      <w:r>
        <w:rPr>
          <w:rFonts w:hint="eastAsia" w:ascii="宋体" w:hAnsi="宋体"/>
          <w:color w:val="000000" w:themeColor="text1"/>
          <w:szCs w:val="21"/>
        </w:rPr>
        <w:t>项目名称：</w:t>
      </w:r>
      <w:r>
        <w:rPr>
          <w:rFonts w:hint="eastAsia" w:ascii="宋体" w:hAnsi="宋体" w:eastAsia="宋体" w:cs="Times New Roman"/>
          <w:b/>
          <w:bCs/>
          <w:color w:val="000000" w:themeColor="text1"/>
          <w:szCs w:val="21"/>
          <w:u w:val="single"/>
          <w:lang w:eastAsia="zh-CN"/>
        </w:rPr>
        <w:t xml:space="preserve">阳江市妇幼保健院一期特殊科室（手术室、NICU、产房、检验科PCR实验室、妇科门诊手术室）洁净区域维保服务采购项目 </w:t>
      </w:r>
    </w:p>
    <w:p>
      <w:pPr>
        <w:adjustRightInd w:val="0"/>
        <w:snapToGrid w:val="0"/>
        <w:spacing w:line="360" w:lineRule="auto"/>
        <w:jc w:val="left"/>
        <w:rPr>
          <w:rFonts w:ascii="宋体" w:hAnsi="宋体"/>
          <w:bCs/>
          <w:color w:val="000000" w:themeColor="text1"/>
          <w:szCs w:val="21"/>
          <w:u w:val="single"/>
        </w:rPr>
      </w:pPr>
    </w:p>
    <w:p>
      <w:pPr>
        <w:pStyle w:val="8"/>
        <w:spacing w:line="360" w:lineRule="auto"/>
        <w:rPr>
          <w:rFonts w:hAnsi="宋体"/>
          <w:color w:val="000000" w:themeColor="text1"/>
          <w:sz w:val="21"/>
          <w:szCs w:val="21"/>
        </w:rPr>
      </w:pPr>
    </w:p>
    <w:p>
      <w:pPr>
        <w:pStyle w:val="8"/>
        <w:spacing w:line="360" w:lineRule="auto"/>
        <w:rPr>
          <w:rFonts w:hAnsi="宋体"/>
          <w:bCs/>
          <w:color w:val="000000"/>
          <w:sz w:val="21"/>
          <w:szCs w:val="21"/>
        </w:rPr>
      </w:pPr>
      <w:r>
        <w:rPr>
          <w:rFonts w:hint="eastAsia" w:hAnsi="宋体"/>
          <w:bCs/>
          <w:color w:val="000000"/>
          <w:sz w:val="21"/>
          <w:szCs w:val="21"/>
        </w:rPr>
        <w:t>本节无格式要求，投标人可根据自身实际情况以及招标文件评分细则规定的详细评审内容和应当提供的证明材料进行编制。</w:t>
      </w:r>
    </w:p>
    <w:p>
      <w:pPr>
        <w:pStyle w:val="8"/>
        <w:spacing w:line="360" w:lineRule="auto"/>
        <w:rPr>
          <w:rFonts w:hAnsi="宋体"/>
          <w:bCs/>
          <w:color w:val="000000" w:themeColor="text1"/>
          <w:sz w:val="21"/>
          <w:szCs w:val="21"/>
        </w:rPr>
      </w:pPr>
      <w:r>
        <w:rPr>
          <w:rFonts w:hint="eastAsia" w:hAnsi="宋体"/>
          <w:bCs/>
          <w:color w:val="000000" w:themeColor="text1"/>
          <w:sz w:val="21"/>
          <w:szCs w:val="21"/>
        </w:rPr>
        <w:t>一、</w:t>
      </w:r>
    </w:p>
    <w:p>
      <w:pPr>
        <w:pStyle w:val="8"/>
        <w:spacing w:line="360" w:lineRule="auto"/>
        <w:rPr>
          <w:rFonts w:hAnsi="宋体"/>
          <w:bCs/>
          <w:color w:val="000000" w:themeColor="text1"/>
          <w:sz w:val="21"/>
          <w:szCs w:val="21"/>
        </w:rPr>
      </w:pPr>
      <w:r>
        <w:rPr>
          <w:rFonts w:hint="eastAsia" w:hAnsi="宋体"/>
          <w:bCs/>
          <w:color w:val="000000" w:themeColor="text1"/>
          <w:sz w:val="21"/>
          <w:szCs w:val="21"/>
        </w:rPr>
        <w:t>二、</w:t>
      </w:r>
    </w:p>
    <w:p>
      <w:pPr>
        <w:pStyle w:val="8"/>
        <w:spacing w:line="360" w:lineRule="auto"/>
        <w:rPr>
          <w:rFonts w:hAnsi="宋体"/>
          <w:bCs/>
          <w:color w:val="000000" w:themeColor="text1"/>
          <w:sz w:val="21"/>
          <w:szCs w:val="21"/>
        </w:rPr>
      </w:pPr>
      <w:r>
        <w:rPr>
          <w:rFonts w:hint="eastAsia" w:hAnsi="宋体"/>
          <w:bCs/>
          <w:color w:val="000000" w:themeColor="text1"/>
          <w:sz w:val="21"/>
          <w:szCs w:val="21"/>
        </w:rPr>
        <w:t>三、</w:t>
      </w:r>
      <w:r>
        <w:rPr>
          <w:rFonts w:hAnsi="宋体"/>
          <w:bCs/>
          <w:color w:val="000000" w:themeColor="text1"/>
          <w:sz w:val="21"/>
          <w:szCs w:val="21"/>
        </w:rPr>
        <w:t>...</w:t>
      </w:r>
    </w:p>
    <w:p>
      <w:pPr>
        <w:pStyle w:val="8"/>
        <w:spacing w:line="360" w:lineRule="auto"/>
        <w:rPr>
          <w:rFonts w:hAnsi="宋体"/>
          <w:bCs/>
          <w:color w:val="000000" w:themeColor="text1"/>
          <w:sz w:val="21"/>
          <w:szCs w:val="21"/>
        </w:rPr>
      </w:pPr>
      <w:r>
        <w:rPr>
          <w:rFonts w:hint="eastAsia" w:hAnsi="宋体"/>
          <w:bCs/>
          <w:color w:val="000000" w:themeColor="text1"/>
          <w:sz w:val="21"/>
          <w:szCs w:val="21"/>
        </w:rPr>
        <w:t>四、</w:t>
      </w:r>
      <w:r>
        <w:rPr>
          <w:rFonts w:hAnsi="宋体"/>
          <w:bCs/>
          <w:color w:val="000000" w:themeColor="text1"/>
          <w:sz w:val="21"/>
          <w:szCs w:val="21"/>
        </w:rPr>
        <w:t>...</w:t>
      </w: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投标人名称（加盖公章）：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r>
        <w:rPr>
          <w:rFonts w:ascii="宋体" w:hAnsi="宋体"/>
          <w:bCs/>
          <w:color w:val="000000" w:themeColor="text1"/>
          <w:szCs w:val="21"/>
          <w:u w:val="single"/>
        </w:rPr>
        <w:t xml:space="preserve"> </w:t>
      </w:r>
      <w:r>
        <w:rPr>
          <w:rFonts w:ascii="宋体" w:hAnsi="宋体"/>
          <w:bCs/>
          <w:color w:val="000000" w:themeColor="text1"/>
          <w:szCs w:val="21"/>
        </w:rPr>
        <w:t xml:space="preserve"> </w:t>
      </w:r>
      <w:r>
        <w:rPr>
          <w:rFonts w:hint="eastAsia" w:ascii="宋体" w:hAnsi="宋体"/>
          <w:bCs/>
          <w:color w:val="000000" w:themeColor="text1"/>
          <w:szCs w:val="21"/>
        </w:rPr>
        <w:t>年</w:t>
      </w:r>
      <w:r>
        <w:rPr>
          <w:rFonts w:ascii="宋体" w:hAnsi="宋体"/>
          <w:bCs/>
          <w:color w:val="000000" w:themeColor="text1"/>
          <w:szCs w:val="21"/>
          <w:u w:val="single"/>
        </w:rPr>
        <w:t xml:space="preserve">     </w:t>
      </w:r>
      <w:r>
        <w:rPr>
          <w:rFonts w:hint="eastAsia" w:ascii="宋体" w:hAnsi="宋体"/>
          <w:bCs/>
          <w:color w:val="000000" w:themeColor="text1"/>
          <w:szCs w:val="21"/>
        </w:rPr>
        <w:t>月</w:t>
      </w:r>
      <w:r>
        <w:rPr>
          <w:rFonts w:ascii="宋体" w:hAnsi="宋体"/>
          <w:bCs/>
          <w:color w:val="000000" w:themeColor="text1"/>
          <w:szCs w:val="21"/>
        </w:rPr>
        <w:t xml:space="preserve"> </w:t>
      </w:r>
      <w:r>
        <w:rPr>
          <w:rFonts w:ascii="宋体" w:hAnsi="宋体"/>
          <w:bCs/>
          <w:color w:val="000000" w:themeColor="text1"/>
          <w:szCs w:val="21"/>
          <w:u w:val="single"/>
        </w:rPr>
        <w:t xml:space="preserve">    </w:t>
      </w:r>
      <w:r>
        <w:rPr>
          <w:rFonts w:hint="eastAsia" w:ascii="宋体" w:hAnsi="宋体"/>
          <w:bCs/>
          <w:color w:val="000000" w:themeColor="text1"/>
          <w:szCs w:val="21"/>
        </w:rPr>
        <w:t>日</w:t>
      </w:r>
    </w:p>
    <w:p>
      <w:pPr>
        <w:pStyle w:val="8"/>
        <w:spacing w:line="360" w:lineRule="auto"/>
        <w:rPr>
          <w:rFonts w:hAnsi="宋体"/>
          <w:color w:val="000000" w:themeColor="text1"/>
          <w:szCs w:val="21"/>
        </w:rPr>
      </w:pPr>
    </w:p>
    <w:p>
      <w:pPr>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（供应商认为本节无须提交的，应当注明“本节空白”字样）。</w:t>
      </w:r>
    </w:p>
    <w:p>
      <w:pPr>
        <w:pStyle w:val="8"/>
        <w:spacing w:line="360" w:lineRule="auto"/>
        <w:rPr>
          <w:rFonts w:hAnsi="宋体"/>
          <w:color w:val="000000" w:themeColor="text1"/>
        </w:rPr>
      </w:pPr>
    </w:p>
    <w:p>
      <w:pPr>
        <w:pStyle w:val="8"/>
        <w:ind w:firstLine="0"/>
        <w:rPr>
          <w:rFonts w:hAnsi="宋体"/>
          <w:color w:val="000000" w:themeColor="text1"/>
        </w:rPr>
      </w:pPr>
      <w:bookmarkStart w:id="2211" w:name="_Toc434832511"/>
    </w:p>
    <w:p>
      <w:pPr>
        <w:pStyle w:val="8"/>
        <w:ind w:firstLine="0"/>
        <w:rPr>
          <w:rFonts w:hAnsi="宋体"/>
          <w:color w:val="000000" w:themeColor="text1"/>
        </w:rPr>
      </w:pPr>
    </w:p>
    <w:p>
      <w:pPr>
        <w:pStyle w:val="8"/>
        <w:ind w:firstLine="0"/>
        <w:rPr>
          <w:rFonts w:hAnsi="宋体"/>
          <w:color w:val="000000" w:themeColor="text1"/>
        </w:rPr>
      </w:pPr>
    </w:p>
    <w:p>
      <w:pPr>
        <w:pStyle w:val="8"/>
        <w:ind w:firstLine="0"/>
        <w:rPr>
          <w:rFonts w:hAnsi="宋体"/>
          <w:color w:val="000000" w:themeColor="text1"/>
        </w:rPr>
      </w:pPr>
    </w:p>
    <w:p>
      <w:pPr>
        <w:pStyle w:val="8"/>
        <w:ind w:firstLine="0"/>
        <w:rPr>
          <w:rFonts w:hAnsi="宋体"/>
          <w:color w:val="000000" w:themeColor="text1"/>
        </w:rPr>
      </w:pPr>
    </w:p>
    <w:p>
      <w:pPr>
        <w:pStyle w:val="8"/>
        <w:ind w:firstLine="0"/>
        <w:rPr>
          <w:rFonts w:hAnsi="宋体"/>
          <w:color w:val="000000" w:themeColor="text1"/>
        </w:rPr>
      </w:pPr>
    </w:p>
    <w:p>
      <w:pPr>
        <w:pStyle w:val="8"/>
        <w:ind w:firstLine="0"/>
        <w:rPr>
          <w:rFonts w:hAnsi="宋体"/>
          <w:color w:val="000000" w:themeColor="text1"/>
        </w:rPr>
      </w:pPr>
    </w:p>
    <w:p>
      <w:pPr>
        <w:pStyle w:val="8"/>
        <w:ind w:firstLine="0"/>
        <w:rPr>
          <w:rFonts w:hAnsi="宋体"/>
          <w:color w:val="000000" w:themeColor="text1"/>
        </w:rPr>
      </w:pPr>
    </w:p>
    <w:p>
      <w:pPr>
        <w:pStyle w:val="8"/>
        <w:ind w:firstLine="0"/>
        <w:rPr>
          <w:rFonts w:hAnsi="宋体"/>
          <w:color w:val="000000" w:themeColor="text1"/>
        </w:rPr>
      </w:pPr>
    </w:p>
    <w:p>
      <w:pPr>
        <w:pStyle w:val="5"/>
        <w:numPr>
          <w:ilvl w:val="1"/>
          <w:numId w:val="0"/>
        </w:numPr>
        <w:spacing w:line="360" w:lineRule="auto"/>
        <w:rPr>
          <w:rFonts w:ascii="宋体" w:hAnsi="宋体"/>
          <w:color w:val="000000" w:themeColor="text1"/>
          <w:sz w:val="52"/>
        </w:rPr>
      </w:pPr>
      <w:bookmarkStart w:id="2212" w:name="_Toc83905608"/>
      <w:bookmarkStart w:id="2213" w:name="_Toc469160806"/>
      <w:r>
        <w:rPr>
          <w:rFonts w:hint="eastAsia" w:ascii="宋体" w:hAnsi="宋体"/>
          <w:color w:val="000000" w:themeColor="text1"/>
          <w:sz w:val="52"/>
        </w:rPr>
        <w:t>其 他 格 式</w:t>
      </w:r>
      <w:bookmarkEnd w:id="2211"/>
      <w:bookmarkEnd w:id="2212"/>
      <w:bookmarkEnd w:id="2213"/>
    </w:p>
    <w:p>
      <w:pPr>
        <w:spacing w:line="360" w:lineRule="auto"/>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b/>
          <w:color w:val="000000" w:themeColor="text1"/>
          <w:szCs w:val="21"/>
        </w:rPr>
      </w:pPr>
    </w:p>
    <w:p>
      <w:pPr>
        <w:jc w:val="center"/>
        <w:rPr>
          <w:b/>
          <w:bCs/>
          <w:color w:val="000000" w:themeColor="text1"/>
          <w:sz w:val="44"/>
          <w:szCs w:val="44"/>
        </w:rPr>
      </w:pPr>
    </w:p>
    <w:p>
      <w:pPr>
        <w:jc w:val="center"/>
        <w:rPr>
          <w:b/>
          <w:bCs/>
          <w:color w:val="000000" w:themeColor="text1"/>
          <w:szCs w:val="21"/>
        </w:rPr>
      </w:pPr>
      <w:r>
        <w:rPr>
          <w:rFonts w:hint="eastAsia"/>
          <w:b/>
          <w:bCs/>
          <w:color w:val="000000" w:themeColor="text1"/>
          <w:sz w:val="44"/>
          <w:szCs w:val="44"/>
        </w:rPr>
        <w:t>购买标书登记表</w:t>
      </w:r>
    </w:p>
    <w:p>
      <w:pPr>
        <w:jc w:val="center"/>
        <w:rPr>
          <w:color w:val="000000" w:themeColor="text1"/>
          <w:szCs w:val="21"/>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项目名称</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招标编号</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购买时间</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投标商名称</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地址</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电话</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传真</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联系人</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手机</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职务</w:t>
            </w:r>
          </w:p>
        </w:tc>
        <w:tc>
          <w:tcPr>
            <w:tcW w:w="1940" w:type="dxa"/>
          </w:tcPr>
          <w:p>
            <w:pPr>
              <w:rPr>
                <w:color w:val="000000" w:themeColor="text1"/>
                <w:sz w:val="28"/>
                <w:szCs w:val="28"/>
              </w:rPr>
            </w:pPr>
          </w:p>
        </w:tc>
        <w:tc>
          <w:tcPr>
            <w:tcW w:w="1940" w:type="dxa"/>
            <w:vAlign w:val="center"/>
          </w:tcPr>
          <w:p>
            <w:pPr>
              <w:jc w:val="center"/>
              <w:rPr>
                <w:color w:val="000000" w:themeColor="text1"/>
                <w:sz w:val="28"/>
                <w:szCs w:val="28"/>
              </w:rPr>
            </w:pPr>
            <w:r>
              <w:rPr>
                <w:rFonts w:hint="eastAsia"/>
                <w:color w:val="000000" w:themeColor="text1"/>
                <w:sz w:val="28"/>
                <w:szCs w:val="28"/>
              </w:rPr>
              <w:t>电子邮件</w:t>
            </w:r>
          </w:p>
        </w:tc>
        <w:tc>
          <w:tcPr>
            <w:tcW w:w="2895" w:type="dxa"/>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拟投设备</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制造厂商</w:t>
            </w:r>
          </w:p>
        </w:tc>
        <w:tc>
          <w:tcPr>
            <w:tcW w:w="6775" w:type="dxa"/>
            <w:gridSpan w:val="3"/>
          </w:tcPr>
          <w:p>
            <w:pPr>
              <w:rPr>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rPr>
            </w:pPr>
            <w:r>
              <w:rPr>
                <w:rFonts w:hint="eastAsia"/>
                <w:color w:val="000000" w:themeColor="text1"/>
                <w:sz w:val="28"/>
                <w:szCs w:val="28"/>
              </w:rPr>
              <w:t>经营范围</w:t>
            </w:r>
          </w:p>
        </w:tc>
        <w:tc>
          <w:tcPr>
            <w:tcW w:w="6775" w:type="dxa"/>
            <w:gridSpan w:val="3"/>
          </w:tcPr>
          <w:p>
            <w:pPr>
              <w:rPr>
                <w:color w:val="000000" w:themeColor="text1"/>
                <w:sz w:val="28"/>
                <w:szCs w:val="28"/>
              </w:rPr>
            </w:pPr>
          </w:p>
        </w:tc>
      </w:tr>
    </w:tbl>
    <w:p>
      <w:pPr>
        <w:spacing w:line="360" w:lineRule="auto"/>
        <w:jc w:val="center"/>
        <w:rPr>
          <w:rFonts w:ascii="宋体" w:hAnsi="宋体"/>
          <w:b/>
          <w:color w:val="000000" w:themeColor="text1"/>
          <w:sz w:val="28"/>
          <w:szCs w:val="28"/>
        </w:rPr>
      </w:pPr>
    </w:p>
    <w:p>
      <w:pPr>
        <w:spacing w:line="360" w:lineRule="auto"/>
        <w:jc w:val="center"/>
        <w:rPr>
          <w:rFonts w:ascii="宋体" w:hAnsi="宋体"/>
          <w:b/>
          <w:color w:val="000000" w:themeColor="text1"/>
          <w:sz w:val="28"/>
          <w:szCs w:val="28"/>
        </w:rPr>
      </w:pPr>
    </w:p>
    <w:p>
      <w:pPr>
        <w:spacing w:line="360" w:lineRule="auto"/>
        <w:jc w:val="center"/>
        <w:rPr>
          <w:rFonts w:ascii="宋体" w:hAnsi="宋体"/>
          <w:b/>
          <w:color w:val="000000" w:themeColor="text1"/>
          <w:sz w:val="28"/>
          <w:szCs w:val="28"/>
        </w:rPr>
      </w:pPr>
    </w:p>
    <w:p>
      <w:pPr>
        <w:spacing w:line="360" w:lineRule="auto"/>
        <w:jc w:val="center"/>
        <w:rPr>
          <w:rFonts w:ascii="宋体" w:hAnsi="宋体"/>
          <w:b/>
          <w:color w:val="000000" w:themeColor="text1"/>
          <w:sz w:val="28"/>
          <w:szCs w:val="28"/>
        </w:rPr>
      </w:pPr>
    </w:p>
    <w:p>
      <w:pPr>
        <w:spacing w:line="360" w:lineRule="auto"/>
        <w:jc w:val="center"/>
        <w:rPr>
          <w:rFonts w:ascii="宋体" w:hAnsi="宋体"/>
          <w:b/>
          <w:color w:val="000000" w:themeColor="text1"/>
          <w:sz w:val="28"/>
          <w:szCs w:val="28"/>
        </w:rPr>
      </w:pPr>
    </w:p>
    <w:p>
      <w:pPr>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询问函、质疑函格式</w:t>
      </w:r>
    </w:p>
    <w:p>
      <w:pPr>
        <w:pStyle w:val="46"/>
        <w:snapToGrid w:val="0"/>
        <w:spacing w:before="0" w:beforeAutospacing="0" w:after="0" w:afterAutospacing="0" w:line="360" w:lineRule="auto"/>
        <w:jc w:val="both"/>
        <w:rPr>
          <w:color w:val="000000" w:themeColor="text1"/>
          <w:sz w:val="2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6"/>
        <w:snapToGrid w:val="0"/>
        <w:spacing w:before="0" w:beforeAutospacing="0" w:after="0" w:afterAutospacing="0" w:line="360" w:lineRule="auto"/>
        <w:jc w:val="both"/>
        <w:rPr>
          <w:color w:val="000000" w:themeColor="text1"/>
          <w:sz w:val="21"/>
          <w:szCs w:val="21"/>
        </w:rPr>
      </w:pPr>
    </w:p>
    <w:p>
      <w:pPr>
        <w:pStyle w:val="46"/>
        <w:snapToGrid w:val="0"/>
        <w:spacing w:before="0" w:beforeAutospacing="0" w:after="0" w:afterAutospacing="0" w:line="360" w:lineRule="auto"/>
        <w:jc w:val="both"/>
        <w:rPr>
          <w:color w:val="000000" w:themeColor="text1"/>
          <w:sz w:val="21"/>
          <w:szCs w:val="21"/>
        </w:rPr>
      </w:pPr>
      <w:r>
        <w:rPr>
          <w:rFonts w:hint="eastAsia"/>
          <w:color w:val="000000" w:themeColor="text1"/>
          <w:sz w:val="21"/>
          <w:szCs w:val="21"/>
        </w:rPr>
        <w:t>1：询问函格式</w:t>
      </w:r>
    </w:p>
    <w:p>
      <w:pPr>
        <w:pStyle w:val="46"/>
        <w:spacing w:before="0" w:beforeAutospacing="0" w:after="0" w:afterAutospacing="0" w:line="360" w:lineRule="auto"/>
        <w:jc w:val="center"/>
        <w:rPr>
          <w:rStyle w:val="55"/>
          <w:rFonts w:cs="Times New Roman"/>
          <w:b w:val="0"/>
          <w:color w:val="000000" w:themeColor="text1"/>
          <w:sz w:val="21"/>
          <w:szCs w:val="21"/>
        </w:rPr>
      </w:pPr>
      <w:r>
        <w:rPr>
          <w:rStyle w:val="55"/>
          <w:rFonts w:hint="eastAsia" w:cs="Times New Roman"/>
          <w:b w:val="0"/>
          <w:color w:val="000000" w:themeColor="text1"/>
          <w:sz w:val="21"/>
          <w:szCs w:val="21"/>
        </w:rPr>
        <w:t>询问函</w:t>
      </w:r>
    </w:p>
    <w:p>
      <w:pPr>
        <w:widowControl/>
        <w:tabs>
          <w:tab w:val="left" w:pos="6300"/>
        </w:tabs>
        <w:snapToGrid w:val="0"/>
        <w:spacing w:line="360" w:lineRule="auto"/>
        <w:jc w:val="left"/>
        <w:rPr>
          <w:rFonts w:ascii="宋体" w:hAnsi="宋体"/>
          <w:color w:val="000000" w:themeColor="text1"/>
          <w:szCs w:val="21"/>
        </w:rPr>
      </w:pPr>
      <w:r>
        <w:rPr>
          <w:rFonts w:hint="eastAsia" w:ascii="宋体" w:hAnsi="宋体" w:cs="宋体"/>
          <w:sz w:val="24"/>
        </w:rPr>
        <w:t>阳江市投源招标采购有限公司</w:t>
      </w:r>
      <w:r>
        <w:rPr>
          <w:rFonts w:hint="eastAsia" w:ascii="宋体" w:hAnsi="宋体"/>
          <w:color w:val="000000" w:themeColor="text1"/>
          <w:szCs w:val="21"/>
        </w:rPr>
        <w:t>：</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我单位已报名并准备参与</w:t>
      </w:r>
      <w:r>
        <w:rPr>
          <w:rFonts w:hint="eastAsia" w:ascii="宋体" w:hAnsi="宋体"/>
          <w:color w:val="000000" w:themeColor="text1"/>
          <w:szCs w:val="21"/>
          <w:u w:val="single"/>
        </w:rPr>
        <w:t>（项目名称）</w:t>
      </w:r>
      <w:r>
        <w:rPr>
          <w:rFonts w:hint="eastAsia" w:ascii="宋体" w:hAnsi="宋体"/>
          <w:color w:val="000000" w:themeColor="text1"/>
          <w:szCs w:val="21"/>
        </w:rPr>
        <w:t>项目（采购文件编号：</w:t>
      </w:r>
      <w:r>
        <w:rPr>
          <w:rFonts w:hint="eastAsia" w:ascii="宋体" w:hAnsi="宋体"/>
          <w:color w:val="000000" w:themeColor="text1"/>
          <w:szCs w:val="21"/>
          <w:u w:val="single"/>
        </w:rPr>
        <w:t xml:space="preserve">     </w:t>
      </w:r>
      <w:r>
        <w:rPr>
          <w:rFonts w:hint="eastAsia" w:ascii="宋体" w:hAnsi="宋体"/>
          <w:color w:val="000000" w:themeColor="text1"/>
          <w:szCs w:val="21"/>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w:t>
      </w:r>
    </w:p>
    <w:p>
      <w:pPr>
        <w:widowControl/>
        <w:tabs>
          <w:tab w:val="left" w:pos="6300"/>
        </w:tabs>
        <w:snapToGri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rPr>
      </w:pPr>
      <w:r>
        <w:rPr>
          <w:rFonts w:hint="eastAsia" w:ascii="宋体" w:hAnsi="宋体"/>
          <w:color w:val="000000" w:themeColor="text1"/>
          <w:szCs w:val="21"/>
        </w:rPr>
        <w:t>询问人：（公章）</w:t>
      </w:r>
    </w:p>
    <w:p>
      <w:pPr>
        <w:widowControl/>
        <w:tabs>
          <w:tab w:val="left" w:pos="6300"/>
        </w:tabs>
        <w:snapToGrid w:val="0"/>
        <w:spacing w:line="360" w:lineRule="auto"/>
        <w:ind w:firstLine="1260" w:firstLineChars="600"/>
        <w:jc w:val="left"/>
        <w:rPr>
          <w:rFonts w:ascii="宋体" w:hAnsi="宋体"/>
          <w:color w:val="000000" w:themeColor="text1"/>
          <w:szCs w:val="21"/>
        </w:rPr>
      </w:pPr>
      <w:r>
        <w:rPr>
          <w:rFonts w:hint="eastAsia" w:ascii="宋体" w:hAnsi="宋体"/>
          <w:color w:val="000000" w:themeColor="text1"/>
          <w:szCs w:val="21"/>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rPr>
      </w:pPr>
      <w:r>
        <w:rPr>
          <w:rFonts w:hint="eastAsia" w:ascii="宋体" w:hAnsi="宋体"/>
          <w:color w:val="000000" w:themeColor="text1"/>
          <w:szCs w:val="21"/>
        </w:rPr>
        <w:t>地址/邮编：</w:t>
      </w:r>
    </w:p>
    <w:p>
      <w:pPr>
        <w:tabs>
          <w:tab w:val="left" w:pos="6300"/>
        </w:tabs>
        <w:snapToGrid w:val="0"/>
        <w:spacing w:line="360" w:lineRule="auto"/>
        <w:ind w:firstLine="1260" w:firstLineChars="600"/>
        <w:jc w:val="left"/>
        <w:rPr>
          <w:rFonts w:ascii="宋体" w:hAnsi="宋体"/>
          <w:color w:val="000000" w:themeColor="text1"/>
          <w:szCs w:val="21"/>
        </w:rPr>
      </w:pPr>
      <w:r>
        <w:rPr>
          <w:rFonts w:hint="eastAsia" w:ascii="宋体" w:hAnsi="宋体"/>
          <w:color w:val="000000" w:themeColor="text1"/>
          <w:szCs w:val="21"/>
        </w:rPr>
        <w:t>电话/传真：</w:t>
      </w:r>
    </w:p>
    <w:p>
      <w:pPr>
        <w:tabs>
          <w:tab w:val="left" w:pos="6300"/>
        </w:tabs>
        <w:snapToGrid w:val="0"/>
        <w:spacing w:line="360" w:lineRule="auto"/>
        <w:ind w:firstLine="1260" w:firstLineChars="600"/>
        <w:jc w:val="left"/>
        <w:rPr>
          <w:rFonts w:ascii="宋体" w:hAnsi="宋体"/>
          <w:color w:val="000000" w:themeColor="text1"/>
          <w:szCs w:val="21"/>
        </w:rPr>
      </w:pPr>
    </w:p>
    <w:p>
      <w:pPr>
        <w:tabs>
          <w:tab w:val="left" w:pos="6300"/>
        </w:tabs>
        <w:snapToGrid w:val="0"/>
        <w:spacing w:line="360" w:lineRule="auto"/>
        <w:ind w:firstLine="1260" w:firstLineChars="600"/>
        <w:jc w:val="left"/>
        <w:rPr>
          <w:rFonts w:ascii="宋体" w:hAnsi="宋体"/>
          <w:color w:val="000000" w:themeColor="text1"/>
          <w:szCs w:val="21"/>
        </w:rPr>
      </w:pPr>
    </w:p>
    <w:p>
      <w:pPr>
        <w:spacing w:line="360" w:lineRule="auto"/>
        <w:jc w:val="right"/>
        <w:rPr>
          <w:rFonts w:ascii="宋体" w:hAnsi="宋体"/>
          <w:color w:val="000000" w:themeColor="text1"/>
          <w:szCs w:val="21"/>
        </w:rPr>
      </w:pPr>
      <w:r>
        <w:rPr>
          <w:rFonts w:hint="eastAsia" w:ascii="宋体" w:hAnsi="宋体"/>
          <w:color w:val="000000" w:themeColor="text1"/>
          <w:szCs w:val="21"/>
        </w:rPr>
        <w:t xml:space="preserve"> </w:t>
      </w:r>
      <w:r>
        <w:rPr>
          <w:rFonts w:hint="eastAsia" w:ascii="宋体" w:hAnsi="宋体"/>
          <w:color w:val="000000" w:themeColor="text1"/>
          <w:szCs w:val="21"/>
          <w:u w:val="single"/>
        </w:rPr>
        <w:t xml:space="preserve">       </w:t>
      </w:r>
      <w:r>
        <w:rPr>
          <w:rFonts w:hint="eastAsia" w:ascii="宋体" w:hAnsi="宋体"/>
          <w:color w:val="000000" w:themeColor="text1"/>
          <w:szCs w:val="21"/>
        </w:rPr>
        <w:t>年</w:t>
      </w:r>
      <w:r>
        <w:rPr>
          <w:rFonts w:hint="eastAsia" w:ascii="宋体" w:hAnsi="宋体"/>
          <w:color w:val="000000" w:themeColor="text1"/>
          <w:szCs w:val="21"/>
          <w:u w:val="single"/>
        </w:rPr>
        <w:t xml:space="preserve">  </w:t>
      </w:r>
      <w:r>
        <w:rPr>
          <w:rFonts w:hint="eastAsia" w:ascii="宋体" w:hAnsi="宋体"/>
          <w:color w:val="000000" w:themeColor="text1"/>
          <w:szCs w:val="21"/>
        </w:rPr>
        <w:t>月</w:t>
      </w:r>
      <w:r>
        <w:rPr>
          <w:rFonts w:hint="eastAsia" w:ascii="宋体" w:hAnsi="宋体"/>
          <w:color w:val="000000" w:themeColor="text1"/>
          <w:szCs w:val="21"/>
          <w:u w:val="single"/>
        </w:rPr>
        <w:t xml:space="preserve">  </w:t>
      </w:r>
      <w:r>
        <w:rPr>
          <w:rFonts w:hint="eastAsia" w:ascii="宋体" w:hAnsi="宋体"/>
          <w:color w:val="000000" w:themeColor="text1"/>
          <w:szCs w:val="21"/>
        </w:rPr>
        <w:t>日</w:t>
      </w:r>
    </w:p>
    <w:p>
      <w:pPr>
        <w:snapToGrid w:val="0"/>
        <w:spacing w:line="360" w:lineRule="auto"/>
        <w:ind w:firstLine="378" w:firstLineChars="180"/>
        <w:rPr>
          <w:rFonts w:ascii="宋体" w:hAnsi="宋体"/>
          <w:color w:val="000000" w:themeColor="text1"/>
          <w:szCs w:val="21"/>
        </w:rPr>
      </w:pPr>
    </w:p>
    <w:p>
      <w:pPr>
        <w:pStyle w:val="46"/>
        <w:adjustRightInd w:val="0"/>
        <w:snapToGrid w:val="0"/>
        <w:spacing w:before="0" w:beforeAutospacing="0" w:after="0" w:afterAutospacing="0" w:line="360" w:lineRule="auto"/>
        <w:jc w:val="both"/>
        <w:rPr>
          <w:color w:val="000000" w:themeColor="text1"/>
          <w:sz w:val="21"/>
          <w:szCs w:val="21"/>
        </w:rPr>
      </w:pPr>
      <w:r>
        <w:rPr>
          <w:rFonts w:hint="eastAsia"/>
          <w:color w:val="000000" w:themeColor="text1"/>
          <w:sz w:val="21"/>
          <w:szCs w:val="21"/>
        </w:rPr>
        <w:br w:type="page"/>
      </w:r>
      <w:r>
        <w:rPr>
          <w:rFonts w:hint="eastAsia"/>
          <w:color w:val="000000" w:themeColor="text1"/>
          <w:sz w:val="21"/>
          <w:szCs w:val="21"/>
        </w:rPr>
        <w:t>2：质疑函格式</w:t>
      </w:r>
    </w:p>
    <w:p>
      <w:pPr>
        <w:pStyle w:val="46"/>
        <w:spacing w:before="0" w:beforeAutospacing="0" w:after="0" w:afterAutospacing="0" w:line="360" w:lineRule="auto"/>
        <w:jc w:val="center"/>
        <w:rPr>
          <w:rStyle w:val="55"/>
          <w:rFonts w:cs="Times New Roman"/>
          <w:b w:val="0"/>
          <w:color w:val="000000" w:themeColor="text1"/>
          <w:sz w:val="21"/>
          <w:szCs w:val="21"/>
        </w:rPr>
      </w:pPr>
      <w:r>
        <w:rPr>
          <w:rStyle w:val="55"/>
          <w:rFonts w:hint="eastAsia" w:cs="Times New Roman"/>
          <w:b w:val="0"/>
          <w:color w:val="000000" w:themeColor="text1"/>
          <w:sz w:val="21"/>
          <w:szCs w:val="21"/>
        </w:rPr>
        <w:t>质疑函</w:t>
      </w:r>
    </w:p>
    <w:p>
      <w:pPr>
        <w:adjustRightInd w:val="0"/>
        <w:snapToGrid w:val="0"/>
        <w:spacing w:beforeLines="100" w:line="360" w:lineRule="auto"/>
        <w:rPr>
          <w:rFonts w:ascii="宋体" w:hAnsi="宋体" w:cs="仿宋"/>
          <w:bCs/>
          <w:color w:val="000000" w:themeColor="text1"/>
          <w:szCs w:val="21"/>
        </w:rPr>
      </w:pPr>
      <w:r>
        <w:rPr>
          <w:rFonts w:hint="eastAsia" w:ascii="宋体" w:hAnsi="宋体" w:cs="仿宋"/>
          <w:bCs/>
          <w:color w:val="000000" w:themeColor="text1"/>
          <w:szCs w:val="21"/>
        </w:rPr>
        <w:t>一、质疑供应商基本信息</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质疑供应商：</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地址：</w:t>
      </w:r>
      <w:r>
        <w:rPr>
          <w:rFonts w:hint="eastAsia" w:ascii="宋体" w:hAnsi="宋体" w:cs="仿宋"/>
          <w:color w:val="000000" w:themeColor="text1"/>
          <w:szCs w:val="21"/>
          <w:u w:val="dotted"/>
        </w:rPr>
        <w:t xml:space="preserve">                          </w:t>
      </w:r>
      <w:r>
        <w:rPr>
          <w:rFonts w:hint="eastAsia" w:ascii="宋体" w:hAnsi="宋体" w:cs="仿宋"/>
          <w:color w:val="000000" w:themeColor="text1"/>
          <w:szCs w:val="21"/>
        </w:rPr>
        <w:t>邮编：</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联系人：</w:t>
      </w:r>
      <w:r>
        <w:rPr>
          <w:rFonts w:hint="eastAsia" w:ascii="宋体" w:hAnsi="宋体" w:cs="仿宋"/>
          <w:color w:val="000000" w:themeColor="text1"/>
          <w:szCs w:val="21"/>
          <w:u w:val="dotted"/>
        </w:rPr>
        <w:t xml:space="preserve">                      </w:t>
      </w:r>
      <w:r>
        <w:rPr>
          <w:rFonts w:hint="eastAsia" w:ascii="宋体" w:hAnsi="宋体" w:cs="仿宋"/>
          <w:color w:val="000000" w:themeColor="text1"/>
          <w:szCs w:val="21"/>
        </w:rPr>
        <w:t>联系电话：</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授权代表：</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联系电话：</w:t>
      </w:r>
      <w:r>
        <w:rPr>
          <w:rFonts w:hint="eastAsia" w:ascii="宋体" w:hAnsi="宋体" w:cs="仿宋"/>
          <w:color w:val="000000" w:themeColor="text1"/>
          <w:szCs w:val="21"/>
          <w:u w:val="dotted"/>
        </w:rPr>
        <w:t xml:space="preserve">                                           </w:t>
      </w:r>
      <w:r>
        <w:rPr>
          <w:rFonts w:ascii="宋体" w:hAnsi="宋体" w:cs="仿宋"/>
          <w:color w:val="000000" w:themeColor="text1"/>
          <w:szCs w:val="21"/>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地址：</w:t>
      </w:r>
      <w:r>
        <w:rPr>
          <w:rFonts w:ascii="宋体" w:hAnsi="宋体" w:cs="仿宋"/>
          <w:color w:val="000000" w:themeColor="text1"/>
          <w:szCs w:val="21"/>
        </w:rPr>
        <w:t xml:space="preserve"> </w:t>
      </w:r>
      <w:r>
        <w:rPr>
          <w:rFonts w:hint="eastAsia" w:ascii="宋体" w:hAnsi="宋体" w:cs="仿宋"/>
          <w:color w:val="000000" w:themeColor="text1"/>
          <w:szCs w:val="21"/>
          <w:u w:val="dotted"/>
        </w:rPr>
        <w:t xml:space="preserve">                        </w:t>
      </w:r>
      <w:r>
        <w:rPr>
          <w:rFonts w:hint="eastAsia" w:ascii="宋体" w:hAnsi="宋体" w:cs="仿宋"/>
          <w:color w:val="000000" w:themeColor="text1"/>
          <w:szCs w:val="21"/>
        </w:rPr>
        <w:t>邮编：</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bCs/>
          <w:color w:val="000000" w:themeColor="text1"/>
          <w:szCs w:val="21"/>
        </w:rPr>
      </w:pPr>
      <w:r>
        <w:rPr>
          <w:rFonts w:hint="eastAsia" w:ascii="宋体" w:hAnsi="宋体" w:cs="仿宋"/>
          <w:bCs/>
          <w:color w:val="000000" w:themeColor="text1"/>
          <w:szCs w:val="21"/>
        </w:rPr>
        <w:t>二、质疑项目基本情况</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质疑项目的名称：</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质疑项目的编号：</w:t>
      </w:r>
      <w:r>
        <w:rPr>
          <w:rFonts w:hint="eastAsia" w:ascii="宋体" w:hAnsi="宋体" w:cs="仿宋"/>
          <w:color w:val="000000" w:themeColor="text1"/>
          <w:szCs w:val="21"/>
          <w:u w:val="dotted"/>
        </w:rPr>
        <w:t xml:space="preserve">               </w:t>
      </w:r>
      <w:r>
        <w:rPr>
          <w:rFonts w:hint="eastAsia" w:ascii="宋体" w:hAnsi="宋体" w:cs="仿宋"/>
          <w:color w:val="000000" w:themeColor="text1"/>
          <w:szCs w:val="21"/>
        </w:rPr>
        <w:t>包号：</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采购人名称：</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采购文件获取日期：</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bCs/>
          <w:color w:val="000000" w:themeColor="text1"/>
          <w:szCs w:val="21"/>
        </w:rPr>
      </w:pPr>
      <w:r>
        <w:rPr>
          <w:rFonts w:hint="eastAsia" w:ascii="宋体" w:hAnsi="宋体" w:cs="仿宋"/>
          <w:bCs/>
          <w:color w:val="000000" w:themeColor="text1"/>
          <w:szCs w:val="21"/>
        </w:rPr>
        <w:t>三、质疑事项具体内容</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质疑事项1：</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事实依据：</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法律依据：</w:t>
      </w: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u w:val="dotted"/>
        </w:rPr>
        <w:t xml:space="preserve">                                                     </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质疑事项2</w:t>
      </w:r>
    </w:p>
    <w:p>
      <w:pPr>
        <w:adjustRightInd w:val="0"/>
        <w:snapToGrid w:val="0"/>
        <w:spacing w:line="360" w:lineRule="auto"/>
        <w:rPr>
          <w:rFonts w:ascii="宋体" w:hAnsi="宋体" w:cs="仿宋"/>
          <w:color w:val="000000" w:themeColor="text1"/>
          <w:szCs w:val="21"/>
        </w:rPr>
      </w:pPr>
      <w:r>
        <w:rPr>
          <w:rFonts w:hint="eastAsia" w:ascii="宋体" w:hAnsi="宋体" w:cs="仿宋"/>
          <w:color w:val="000000" w:themeColor="text1"/>
          <w:szCs w:val="21"/>
        </w:rPr>
        <w:t>……</w:t>
      </w:r>
    </w:p>
    <w:p>
      <w:pPr>
        <w:adjustRightInd w:val="0"/>
        <w:snapToGrid w:val="0"/>
        <w:spacing w:line="360" w:lineRule="auto"/>
        <w:rPr>
          <w:rFonts w:ascii="宋体" w:hAnsi="宋体" w:cs="仿宋"/>
          <w:bCs/>
          <w:color w:val="000000" w:themeColor="text1"/>
          <w:szCs w:val="21"/>
        </w:rPr>
      </w:pPr>
      <w:r>
        <w:rPr>
          <w:rFonts w:hint="eastAsia" w:ascii="宋体" w:hAnsi="宋体" w:cs="仿宋"/>
          <w:bCs/>
          <w:color w:val="000000" w:themeColor="text1"/>
          <w:szCs w:val="21"/>
        </w:rPr>
        <w:t>四、与质疑事项相关的质疑请求</w:t>
      </w:r>
    </w:p>
    <w:p>
      <w:pPr>
        <w:adjustRightInd w:val="0"/>
        <w:snapToGrid w:val="0"/>
        <w:spacing w:line="360" w:lineRule="auto"/>
        <w:rPr>
          <w:rFonts w:ascii="宋体" w:hAnsi="宋体" w:cs="仿宋"/>
          <w:color w:val="000000" w:themeColor="text1"/>
          <w:szCs w:val="21"/>
          <w:u w:val="dotted"/>
        </w:rPr>
      </w:pPr>
      <w:r>
        <w:rPr>
          <w:rFonts w:hint="eastAsia" w:ascii="宋体" w:hAnsi="宋体" w:cs="仿宋"/>
          <w:color w:val="000000" w:themeColor="text1"/>
          <w:szCs w:val="21"/>
        </w:rPr>
        <w:t>请求：</w:t>
      </w:r>
      <w:r>
        <w:rPr>
          <w:rFonts w:hint="eastAsia" w:ascii="宋体" w:hAnsi="宋体" w:cs="仿宋"/>
          <w:color w:val="000000" w:themeColor="text1"/>
          <w:szCs w:val="21"/>
          <w:u w:val="dotted"/>
        </w:rPr>
        <w:t xml:space="preserve">                                               </w:t>
      </w:r>
    </w:p>
    <w:p>
      <w:pP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 xml:space="preserve">签字(签章)：                   公章：                      </w:t>
      </w:r>
    </w:p>
    <w:p>
      <w:pP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 xml:space="preserve">日期：    </w:t>
      </w: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adjustRightInd w:val="0"/>
        <w:snapToGrid w:val="0"/>
        <w:spacing w:line="360" w:lineRule="auto"/>
        <w:rPr>
          <w:rFonts w:ascii="宋体" w:hAnsi="宋体" w:cs="仿宋"/>
          <w:color w:val="000000" w:themeColor="text1"/>
          <w:szCs w:val="21"/>
        </w:rPr>
      </w:pPr>
    </w:p>
    <w:p>
      <w:pPr>
        <w:spacing w:line="360" w:lineRule="auto"/>
        <w:rPr>
          <w:rFonts w:ascii="宋体" w:hAnsi="宋体"/>
          <w:b/>
          <w:color w:val="000000" w:themeColor="text1"/>
          <w:szCs w:val="21"/>
        </w:rPr>
      </w:pPr>
      <w:r>
        <w:rPr>
          <w:rFonts w:hint="eastAsia" w:ascii="宋体" w:hAnsi="宋体"/>
          <w:b/>
          <w:color w:val="000000" w:themeColor="text1"/>
          <w:szCs w:val="21"/>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spacing w:line="360" w:lineRule="auto"/>
        <w:rPr>
          <w:rFonts w:ascii="宋体" w:hAnsi="宋体"/>
          <w:b/>
          <w:color w:val="000000" w:themeColor="text1"/>
          <w:szCs w:val="21"/>
        </w:rPr>
      </w:pPr>
    </w:p>
    <w:sectPr>
      <w:head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0000000000000000000"/>
    <w:charset w:val="00"/>
    <w:family w:val="swiss"/>
    <w:pitch w:val="default"/>
    <w:sig w:usb0="00000000" w:usb1="00000000" w:usb2="00000000" w:usb3="00000000" w:csb0="2000009F" w:csb1="DFD70000"/>
  </w:font>
  <w:font w:name="STKaiti">
    <w:altName w:val="宋体"/>
    <w:panose1 w:val="00000000000000000000"/>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aiTi_GB2312">
    <w:altName w:val="楷体"/>
    <w:panose1 w:val="02010609060101010101"/>
    <w:charset w:val="86"/>
    <w:family w:val="modern"/>
    <w:pitch w:val="default"/>
    <w:sig w:usb0="00000000" w:usb1="00000000"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roman"/>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9FAB"/>
    <w:multiLevelType w:val="singleLevel"/>
    <w:tmpl w:val="EF969FAB"/>
    <w:lvl w:ilvl="0" w:tentative="0">
      <w:start w:val="1"/>
      <w:numFmt w:val="chineseCounting"/>
      <w:suff w:val="space"/>
      <w:lvlText w:val="第%1条"/>
      <w:lvlJc w:val="left"/>
      <w:rPr>
        <w:rFonts w:hint="eastAsia"/>
      </w:rPr>
    </w:lvl>
  </w:abstractNum>
  <w:abstractNum w:abstractNumId="1">
    <w:nsid w:val="00000009"/>
    <w:multiLevelType w:val="singleLevel"/>
    <w:tmpl w:val="00000009"/>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2">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singleLevel"/>
    <w:tmpl w:val="0000000C"/>
    <w:lvl w:ilvl="0" w:tentative="0">
      <w:start w:val="1"/>
      <w:numFmt w:val="decimal"/>
      <w:pStyle w:val="2"/>
      <w:lvlText w:val="%1."/>
      <w:lvlJc w:val="left"/>
      <w:pPr>
        <w:tabs>
          <w:tab w:val="left" w:pos="360"/>
        </w:tabs>
        <w:ind w:left="360" w:hanging="360"/>
      </w:pPr>
    </w:lvl>
  </w:abstractNum>
  <w:abstractNum w:abstractNumId="4">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6">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10">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1">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4">
    <w:nsid w:val="0000001A"/>
    <w:multiLevelType w:val="multilevel"/>
    <w:tmpl w:val="0000001A"/>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4122"/>
        </w:tabs>
        <w:ind w:left="3402"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4"/>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9">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1">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58A3B60"/>
    <w:multiLevelType w:val="multilevel"/>
    <w:tmpl w:val="058A3B60"/>
    <w:lvl w:ilvl="0" w:tentative="0">
      <w:start w:val="1"/>
      <w:numFmt w:val="chineseCountingThousand"/>
      <w:lvlText w:val="%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3">
    <w:nsid w:val="08ED1B2F"/>
    <w:multiLevelType w:val="multilevel"/>
    <w:tmpl w:val="08ED1B2F"/>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1A781F1D"/>
    <w:multiLevelType w:val="multilevel"/>
    <w:tmpl w:val="1A781F1D"/>
    <w:lvl w:ilvl="0" w:tentative="0">
      <w:start w:val="1"/>
      <w:numFmt w:val="chineseCountingThousand"/>
      <w:suff w:val="nothing"/>
      <w:lvlText w:val="%1、"/>
      <w:lvlJc w:val="left"/>
      <w:pPr>
        <w:ind w:left="644" w:hanging="360"/>
      </w:pPr>
      <w:rPr>
        <w:rFonts w:hint="eastAsia"/>
        <w:b/>
        <w:lang w:val="en-US"/>
      </w:rPr>
    </w:lvl>
    <w:lvl w:ilvl="1" w:tentative="0">
      <w:start w:val="1"/>
      <w:numFmt w:val="decimal"/>
      <w:lvlText w:val="%2、"/>
      <w:lvlJc w:val="left"/>
      <w:pPr>
        <w:tabs>
          <w:tab w:val="left" w:pos="1152"/>
        </w:tabs>
        <w:ind w:left="1152" w:hanging="735"/>
      </w:pPr>
      <w:rPr>
        <w:rFonts w:hint="default"/>
      </w:rPr>
    </w:lvl>
    <w:lvl w:ilvl="2" w:tentative="0">
      <w:start w:val="6"/>
      <w:numFmt w:val="japaneseCounting"/>
      <w:lvlText w:val="%3、"/>
      <w:lvlJc w:val="left"/>
      <w:pPr>
        <w:tabs>
          <w:tab w:val="left" w:pos="1257"/>
        </w:tabs>
        <w:ind w:left="1257" w:hanging="420"/>
      </w:pPr>
      <w:rPr>
        <w:rFonts w:hint="default"/>
      </w:rPr>
    </w:lvl>
    <w:lvl w:ilvl="3" w:tentative="0">
      <w:start w:val="1"/>
      <w:numFmt w:val="decimal"/>
      <w:lvlText w:val="%4）"/>
      <w:lvlJc w:val="left"/>
      <w:pPr>
        <w:tabs>
          <w:tab w:val="left" w:pos="1617"/>
        </w:tabs>
        <w:ind w:left="1617" w:hanging="360"/>
      </w:pPr>
      <w:rPr>
        <w:rFonts w:hint="default"/>
      </w:rPr>
    </w:lvl>
    <w:lvl w:ilvl="4" w:tentative="0">
      <w:start w:val="1"/>
      <w:numFmt w:val="lowerLetter"/>
      <w:lvlText w:val="%5)"/>
      <w:lvlJc w:val="left"/>
      <w:pPr>
        <w:tabs>
          <w:tab w:val="left" w:pos="2097"/>
        </w:tabs>
        <w:ind w:left="2097" w:hanging="420"/>
      </w:pPr>
    </w:lvl>
    <w:lvl w:ilvl="5" w:tentative="0">
      <w:start w:val="1"/>
      <w:numFmt w:val="lowerRoman"/>
      <w:lvlText w:val="%6."/>
      <w:lvlJc w:val="right"/>
      <w:pPr>
        <w:tabs>
          <w:tab w:val="left" w:pos="2517"/>
        </w:tabs>
        <w:ind w:left="2517" w:hanging="420"/>
      </w:pPr>
    </w:lvl>
    <w:lvl w:ilvl="6" w:tentative="0">
      <w:start w:val="1"/>
      <w:numFmt w:val="decimal"/>
      <w:lvlText w:val="%7."/>
      <w:lvlJc w:val="left"/>
      <w:pPr>
        <w:tabs>
          <w:tab w:val="left" w:pos="2937"/>
        </w:tabs>
        <w:ind w:left="2937" w:hanging="420"/>
      </w:pPr>
    </w:lvl>
    <w:lvl w:ilvl="7" w:tentative="0">
      <w:start w:val="1"/>
      <w:numFmt w:val="lowerLetter"/>
      <w:lvlText w:val="%8)"/>
      <w:lvlJc w:val="left"/>
      <w:pPr>
        <w:tabs>
          <w:tab w:val="left" w:pos="3357"/>
        </w:tabs>
        <w:ind w:left="3357" w:hanging="420"/>
      </w:pPr>
    </w:lvl>
    <w:lvl w:ilvl="8" w:tentative="0">
      <w:start w:val="1"/>
      <w:numFmt w:val="lowerRoman"/>
      <w:lvlText w:val="%9."/>
      <w:lvlJc w:val="right"/>
      <w:pPr>
        <w:tabs>
          <w:tab w:val="left" w:pos="3777"/>
        </w:tabs>
        <w:ind w:left="3777" w:hanging="420"/>
      </w:pPr>
    </w:lvl>
  </w:abstractNum>
  <w:abstractNum w:abstractNumId="25">
    <w:nsid w:val="264A23FF"/>
    <w:multiLevelType w:val="multilevel"/>
    <w:tmpl w:val="264A23FF"/>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28EF1BBD"/>
    <w:multiLevelType w:val="multilevel"/>
    <w:tmpl w:val="28EF1BBD"/>
    <w:lvl w:ilvl="0" w:tentative="0">
      <w:start w:val="1"/>
      <w:numFmt w:val="decimal"/>
      <w:suff w:val="nothing"/>
      <w:lvlText w:val="（%1）"/>
      <w:lvlJc w:val="left"/>
      <w:pPr>
        <w:ind w:left="1155" w:hanging="420"/>
      </w:pPr>
      <w:rPr>
        <w:rFonts w:hint="eastAsia"/>
      </w:rPr>
    </w:lvl>
    <w:lvl w:ilvl="1" w:tentative="0">
      <w:start w:val="1"/>
      <w:numFmt w:val="lowerLetter"/>
      <w:lvlText w:val="%2)"/>
      <w:lvlJc w:val="left"/>
      <w:pPr>
        <w:tabs>
          <w:tab w:val="left" w:pos="317"/>
        </w:tabs>
        <w:ind w:left="317" w:hanging="420"/>
      </w:pPr>
    </w:lvl>
    <w:lvl w:ilvl="2" w:tentative="0">
      <w:start w:val="1"/>
      <w:numFmt w:val="lowerRoman"/>
      <w:lvlText w:val="%3."/>
      <w:lvlJc w:val="right"/>
      <w:pPr>
        <w:tabs>
          <w:tab w:val="left" w:pos="737"/>
        </w:tabs>
        <w:ind w:left="737" w:hanging="420"/>
      </w:pPr>
    </w:lvl>
    <w:lvl w:ilvl="3" w:tentative="0">
      <w:start w:val="1"/>
      <w:numFmt w:val="decimal"/>
      <w:lvlText w:val="%4."/>
      <w:lvlJc w:val="left"/>
      <w:pPr>
        <w:tabs>
          <w:tab w:val="left" w:pos="1157"/>
        </w:tabs>
        <w:ind w:left="1157" w:hanging="420"/>
      </w:pPr>
    </w:lvl>
    <w:lvl w:ilvl="4" w:tentative="0">
      <w:start w:val="1"/>
      <w:numFmt w:val="lowerLetter"/>
      <w:lvlText w:val="%5)"/>
      <w:lvlJc w:val="left"/>
      <w:pPr>
        <w:tabs>
          <w:tab w:val="left" w:pos="1577"/>
        </w:tabs>
        <w:ind w:left="1577" w:hanging="420"/>
      </w:pPr>
    </w:lvl>
    <w:lvl w:ilvl="5" w:tentative="0">
      <w:start w:val="1"/>
      <w:numFmt w:val="lowerRoman"/>
      <w:lvlText w:val="%6."/>
      <w:lvlJc w:val="right"/>
      <w:pPr>
        <w:tabs>
          <w:tab w:val="left" w:pos="1997"/>
        </w:tabs>
        <w:ind w:left="1997" w:hanging="420"/>
      </w:pPr>
    </w:lvl>
    <w:lvl w:ilvl="6" w:tentative="0">
      <w:start w:val="1"/>
      <w:numFmt w:val="decimal"/>
      <w:lvlText w:val="%7."/>
      <w:lvlJc w:val="left"/>
      <w:pPr>
        <w:tabs>
          <w:tab w:val="left" w:pos="2417"/>
        </w:tabs>
        <w:ind w:left="2417" w:hanging="420"/>
      </w:pPr>
    </w:lvl>
    <w:lvl w:ilvl="7" w:tentative="0">
      <w:start w:val="1"/>
      <w:numFmt w:val="lowerLetter"/>
      <w:lvlText w:val="%8)"/>
      <w:lvlJc w:val="left"/>
      <w:pPr>
        <w:tabs>
          <w:tab w:val="left" w:pos="2837"/>
        </w:tabs>
        <w:ind w:left="2837" w:hanging="420"/>
      </w:pPr>
    </w:lvl>
    <w:lvl w:ilvl="8" w:tentative="0">
      <w:start w:val="1"/>
      <w:numFmt w:val="lowerRoman"/>
      <w:lvlText w:val="%9."/>
      <w:lvlJc w:val="right"/>
      <w:pPr>
        <w:tabs>
          <w:tab w:val="left" w:pos="3257"/>
        </w:tabs>
        <w:ind w:left="3257" w:hanging="420"/>
      </w:pPr>
    </w:lvl>
  </w:abstractNum>
  <w:abstractNum w:abstractNumId="27">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28">
    <w:nsid w:val="2F341631"/>
    <w:multiLevelType w:val="multilevel"/>
    <w:tmpl w:val="2F341631"/>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9">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3770378A"/>
    <w:multiLevelType w:val="singleLevel"/>
    <w:tmpl w:val="3770378A"/>
    <w:lvl w:ilvl="0" w:tentative="0">
      <w:start w:val="4"/>
      <w:numFmt w:val="chineseCounting"/>
      <w:suff w:val="space"/>
      <w:lvlText w:val="第%1部分"/>
      <w:lvlJc w:val="left"/>
      <w:rPr>
        <w:rFonts w:hint="eastAsia"/>
      </w:rPr>
    </w:lvl>
  </w:abstractNum>
  <w:abstractNum w:abstractNumId="31">
    <w:nsid w:val="3B8355EA"/>
    <w:multiLevelType w:val="multilevel"/>
    <w:tmpl w:val="3B8355EA"/>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5BE1CAD"/>
    <w:multiLevelType w:val="multilevel"/>
    <w:tmpl w:val="55BE1CAD"/>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55F64719"/>
    <w:multiLevelType w:val="multilevel"/>
    <w:tmpl w:val="55F64719"/>
    <w:lvl w:ilvl="0" w:tentative="0">
      <w:start w:val="38"/>
      <w:numFmt w:val="decimal"/>
      <w:lvlText w:val="%1.1"/>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34">
    <w:nsid w:val="55F6475A"/>
    <w:multiLevelType w:val="multilevel"/>
    <w:tmpl w:val="55F6475A"/>
    <w:lvl w:ilvl="0" w:tentative="0">
      <w:start w:val="38"/>
      <w:numFmt w:val="decimal"/>
      <w:lvlText w:val="%1.2"/>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35">
    <w:nsid w:val="55F647B0"/>
    <w:multiLevelType w:val="multilevel"/>
    <w:tmpl w:val="55F647B0"/>
    <w:lvl w:ilvl="0" w:tentative="0">
      <w:start w:val="38"/>
      <w:numFmt w:val="decimal"/>
      <w:lvlText w:val="%1.3"/>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36">
    <w:nsid w:val="55F647D6"/>
    <w:multiLevelType w:val="multilevel"/>
    <w:tmpl w:val="55F647D6"/>
    <w:lvl w:ilvl="0" w:tentative="0">
      <w:start w:val="38"/>
      <w:numFmt w:val="decimal"/>
      <w:lvlText w:val="%1.4"/>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37">
    <w:nsid w:val="55F64877"/>
    <w:multiLevelType w:val="singleLevel"/>
    <w:tmpl w:val="55F64877"/>
    <w:lvl w:ilvl="0" w:tentative="0">
      <w:start w:val="34"/>
      <w:numFmt w:val="decimal"/>
      <w:lvlText w:val="%1"/>
      <w:lvlJc w:val="left"/>
      <w:pPr>
        <w:tabs>
          <w:tab w:val="left" w:pos="624"/>
        </w:tabs>
        <w:ind w:left="624" w:hanging="624"/>
      </w:pPr>
      <w:rPr>
        <w:rFonts w:hint="default"/>
      </w:rPr>
    </w:lvl>
  </w:abstractNum>
  <w:abstractNum w:abstractNumId="38">
    <w:nsid w:val="600B4072"/>
    <w:multiLevelType w:val="multilevel"/>
    <w:tmpl w:val="600B4072"/>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9">
    <w:nsid w:val="60380209"/>
    <w:multiLevelType w:val="multilevel"/>
    <w:tmpl w:val="60380209"/>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6F01363F"/>
    <w:multiLevelType w:val="multilevel"/>
    <w:tmpl w:val="6F01363F"/>
    <w:lvl w:ilvl="0" w:tentative="0">
      <w:start w:val="1"/>
      <w:numFmt w:val="decimal"/>
      <w:suff w:val="nothing"/>
      <w:lvlText w:val="%1、"/>
      <w:lvlJc w:val="left"/>
      <w:pPr>
        <w:ind w:left="786" w:hanging="36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3"/>
  </w:num>
  <w:num w:numId="3">
    <w:abstractNumId w:val="18"/>
  </w:num>
  <w:num w:numId="4">
    <w:abstractNumId w:val="19"/>
  </w:num>
  <w:num w:numId="5">
    <w:abstractNumId w:val="5"/>
  </w:num>
  <w:num w:numId="6">
    <w:abstractNumId w:val="12"/>
  </w:num>
  <w:num w:numId="7">
    <w:abstractNumId w:val="8"/>
  </w:num>
  <w:num w:numId="8">
    <w:abstractNumId w:val="11"/>
  </w:num>
  <w:num w:numId="9">
    <w:abstractNumId w:val="17"/>
  </w:num>
  <w:num w:numId="10">
    <w:abstractNumId w:val="7"/>
  </w:num>
  <w:num w:numId="11">
    <w:abstractNumId w:val="2"/>
  </w:num>
  <w:num w:numId="12">
    <w:abstractNumId w:val="6"/>
  </w:num>
  <w:num w:numId="13">
    <w:abstractNumId w:val="15"/>
  </w:num>
  <w:num w:numId="14">
    <w:abstractNumId w:val="4"/>
  </w:num>
  <w:num w:numId="15">
    <w:abstractNumId w:val="20"/>
  </w:num>
  <w:num w:numId="16">
    <w:abstractNumId w:val="10"/>
  </w:num>
  <w:num w:numId="17">
    <w:abstractNumId w:val="9"/>
  </w:num>
  <w:num w:numId="18">
    <w:abstractNumId w:val="1"/>
  </w:num>
  <w:num w:numId="19">
    <w:abstractNumId w:val="13"/>
  </w:num>
  <w:num w:numId="20">
    <w:abstractNumId w:val="1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2"/>
  </w:num>
  <w:num w:numId="24">
    <w:abstractNumId w:val="23"/>
  </w:num>
  <w:num w:numId="25">
    <w:abstractNumId w:val="38"/>
  </w:num>
  <w:num w:numId="26">
    <w:abstractNumId w:val="26"/>
  </w:num>
  <w:num w:numId="27">
    <w:abstractNumId w:val="27"/>
  </w:num>
  <w:num w:numId="28">
    <w:abstractNumId w:val="31"/>
  </w:num>
  <w:num w:numId="29">
    <w:abstractNumId w:val="28"/>
    <w:lvlOverride w:ilvl="0">
      <w:startOverride w:val="1"/>
    </w:lvlOverride>
  </w:num>
  <w:num w:numId="30">
    <w:abstractNumId w:val="37"/>
  </w:num>
  <w:num w:numId="31">
    <w:abstractNumId w:val="33"/>
  </w:num>
  <w:num w:numId="32">
    <w:abstractNumId w:val="34"/>
  </w:num>
  <w:num w:numId="33">
    <w:abstractNumId w:val="35"/>
  </w:num>
  <w:num w:numId="34">
    <w:abstractNumId w:val="36"/>
  </w:num>
  <w:num w:numId="35">
    <w:abstractNumId w:val="30"/>
  </w:num>
  <w:num w:numId="36">
    <w:abstractNumId w:val="0"/>
  </w:num>
  <w:num w:numId="37">
    <w:abstractNumId w:val="2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21"/>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2MTQwMjM4NDhiNjdjYTJlMzhhYmE4N2NiY2RjNTIifQ=="/>
  </w:docVars>
  <w:rsids>
    <w:rsidRoot w:val="00172A27"/>
    <w:rsid w:val="00001FD6"/>
    <w:rsid w:val="00002280"/>
    <w:rsid w:val="00002745"/>
    <w:rsid w:val="000032FA"/>
    <w:rsid w:val="00003715"/>
    <w:rsid w:val="0001161D"/>
    <w:rsid w:val="00012BC9"/>
    <w:rsid w:val="00014190"/>
    <w:rsid w:val="00014550"/>
    <w:rsid w:val="000152A6"/>
    <w:rsid w:val="00015EFC"/>
    <w:rsid w:val="00015FC5"/>
    <w:rsid w:val="00016866"/>
    <w:rsid w:val="00021189"/>
    <w:rsid w:val="00021E40"/>
    <w:rsid w:val="00022A82"/>
    <w:rsid w:val="00026242"/>
    <w:rsid w:val="000351F0"/>
    <w:rsid w:val="00036F1B"/>
    <w:rsid w:val="00041895"/>
    <w:rsid w:val="00043F63"/>
    <w:rsid w:val="00044719"/>
    <w:rsid w:val="00046F43"/>
    <w:rsid w:val="000545F6"/>
    <w:rsid w:val="000551CA"/>
    <w:rsid w:val="00057C27"/>
    <w:rsid w:val="0006223B"/>
    <w:rsid w:val="0006247F"/>
    <w:rsid w:val="00065D85"/>
    <w:rsid w:val="0007255D"/>
    <w:rsid w:val="00075715"/>
    <w:rsid w:val="0007599D"/>
    <w:rsid w:val="00076A23"/>
    <w:rsid w:val="00085289"/>
    <w:rsid w:val="00085952"/>
    <w:rsid w:val="00086AD4"/>
    <w:rsid w:val="00087297"/>
    <w:rsid w:val="000875F8"/>
    <w:rsid w:val="00091867"/>
    <w:rsid w:val="000940D9"/>
    <w:rsid w:val="00094DCA"/>
    <w:rsid w:val="000A02A9"/>
    <w:rsid w:val="000A1A37"/>
    <w:rsid w:val="000A6122"/>
    <w:rsid w:val="000B1B2D"/>
    <w:rsid w:val="000B78E5"/>
    <w:rsid w:val="000C01BB"/>
    <w:rsid w:val="000C4C4B"/>
    <w:rsid w:val="000C5B77"/>
    <w:rsid w:val="000C78DC"/>
    <w:rsid w:val="000D0B46"/>
    <w:rsid w:val="000D107A"/>
    <w:rsid w:val="000D1136"/>
    <w:rsid w:val="000D3A53"/>
    <w:rsid w:val="000D6FFB"/>
    <w:rsid w:val="000E04B0"/>
    <w:rsid w:val="000E28F5"/>
    <w:rsid w:val="000E7296"/>
    <w:rsid w:val="000E7A7F"/>
    <w:rsid w:val="000F0CB1"/>
    <w:rsid w:val="000F36D6"/>
    <w:rsid w:val="000F43EF"/>
    <w:rsid w:val="000F5037"/>
    <w:rsid w:val="00100051"/>
    <w:rsid w:val="0010212E"/>
    <w:rsid w:val="001039C4"/>
    <w:rsid w:val="0010667A"/>
    <w:rsid w:val="00106733"/>
    <w:rsid w:val="001119D9"/>
    <w:rsid w:val="00111BFA"/>
    <w:rsid w:val="00111C6F"/>
    <w:rsid w:val="00115D2F"/>
    <w:rsid w:val="001177C2"/>
    <w:rsid w:val="00117CA0"/>
    <w:rsid w:val="00124CE1"/>
    <w:rsid w:val="00125833"/>
    <w:rsid w:val="0012776E"/>
    <w:rsid w:val="00127F6A"/>
    <w:rsid w:val="0013157F"/>
    <w:rsid w:val="00136D79"/>
    <w:rsid w:val="001374A1"/>
    <w:rsid w:val="001406E0"/>
    <w:rsid w:val="00143741"/>
    <w:rsid w:val="00144BB3"/>
    <w:rsid w:val="00144BD4"/>
    <w:rsid w:val="00145D46"/>
    <w:rsid w:val="00146C32"/>
    <w:rsid w:val="00146D90"/>
    <w:rsid w:val="00151D5C"/>
    <w:rsid w:val="00153512"/>
    <w:rsid w:val="00154277"/>
    <w:rsid w:val="00163D8F"/>
    <w:rsid w:val="001645A2"/>
    <w:rsid w:val="00170163"/>
    <w:rsid w:val="001708E3"/>
    <w:rsid w:val="001719C1"/>
    <w:rsid w:val="00172A27"/>
    <w:rsid w:val="0017770B"/>
    <w:rsid w:val="0018451E"/>
    <w:rsid w:val="00185BFF"/>
    <w:rsid w:val="00187BF2"/>
    <w:rsid w:val="001932CC"/>
    <w:rsid w:val="0019634F"/>
    <w:rsid w:val="001A34B9"/>
    <w:rsid w:val="001A3E95"/>
    <w:rsid w:val="001A4A4D"/>
    <w:rsid w:val="001A5246"/>
    <w:rsid w:val="001A7A72"/>
    <w:rsid w:val="001B0D57"/>
    <w:rsid w:val="001B171D"/>
    <w:rsid w:val="001B1B72"/>
    <w:rsid w:val="001B1F6B"/>
    <w:rsid w:val="001B2FD4"/>
    <w:rsid w:val="001B36A2"/>
    <w:rsid w:val="001B681E"/>
    <w:rsid w:val="001C182A"/>
    <w:rsid w:val="001C1EE4"/>
    <w:rsid w:val="001C2D2B"/>
    <w:rsid w:val="001C32D0"/>
    <w:rsid w:val="001C35C8"/>
    <w:rsid w:val="001C594C"/>
    <w:rsid w:val="001C7D6D"/>
    <w:rsid w:val="001D1DA0"/>
    <w:rsid w:val="001D2131"/>
    <w:rsid w:val="001D4265"/>
    <w:rsid w:val="001E0218"/>
    <w:rsid w:val="001E0653"/>
    <w:rsid w:val="001E0C1B"/>
    <w:rsid w:val="001E5361"/>
    <w:rsid w:val="001E7BCE"/>
    <w:rsid w:val="001F3280"/>
    <w:rsid w:val="001F3F7E"/>
    <w:rsid w:val="001F4BEB"/>
    <w:rsid w:val="001F6539"/>
    <w:rsid w:val="001F6D8F"/>
    <w:rsid w:val="002007BC"/>
    <w:rsid w:val="002019B1"/>
    <w:rsid w:val="0020509E"/>
    <w:rsid w:val="00206D4D"/>
    <w:rsid w:val="0020752F"/>
    <w:rsid w:val="002175D9"/>
    <w:rsid w:val="002227D9"/>
    <w:rsid w:val="00222B53"/>
    <w:rsid w:val="0022714E"/>
    <w:rsid w:val="0023140D"/>
    <w:rsid w:val="0023268E"/>
    <w:rsid w:val="00234769"/>
    <w:rsid w:val="002347AF"/>
    <w:rsid w:val="00234CD7"/>
    <w:rsid w:val="00236A69"/>
    <w:rsid w:val="002372B0"/>
    <w:rsid w:val="00240917"/>
    <w:rsid w:val="00250054"/>
    <w:rsid w:val="0025476D"/>
    <w:rsid w:val="00260381"/>
    <w:rsid w:val="00261B9D"/>
    <w:rsid w:val="00264840"/>
    <w:rsid w:val="002648B7"/>
    <w:rsid w:val="00267A4D"/>
    <w:rsid w:val="00274D0B"/>
    <w:rsid w:val="002776FF"/>
    <w:rsid w:val="0028164F"/>
    <w:rsid w:val="0028241F"/>
    <w:rsid w:val="00283364"/>
    <w:rsid w:val="00285990"/>
    <w:rsid w:val="00286190"/>
    <w:rsid w:val="00286446"/>
    <w:rsid w:val="00287ECA"/>
    <w:rsid w:val="0029306B"/>
    <w:rsid w:val="002935BB"/>
    <w:rsid w:val="002946A3"/>
    <w:rsid w:val="00295DB3"/>
    <w:rsid w:val="002A2C48"/>
    <w:rsid w:val="002A30FA"/>
    <w:rsid w:val="002A3244"/>
    <w:rsid w:val="002A44F3"/>
    <w:rsid w:val="002A4678"/>
    <w:rsid w:val="002A46DF"/>
    <w:rsid w:val="002A7B75"/>
    <w:rsid w:val="002A7F8C"/>
    <w:rsid w:val="002B0755"/>
    <w:rsid w:val="002B07A0"/>
    <w:rsid w:val="002B39A9"/>
    <w:rsid w:val="002B614B"/>
    <w:rsid w:val="002C44BC"/>
    <w:rsid w:val="002C7DC0"/>
    <w:rsid w:val="002D24E2"/>
    <w:rsid w:val="002D3202"/>
    <w:rsid w:val="002D538E"/>
    <w:rsid w:val="002D55B0"/>
    <w:rsid w:val="002D6B63"/>
    <w:rsid w:val="002E144B"/>
    <w:rsid w:val="002E18B8"/>
    <w:rsid w:val="002E2E71"/>
    <w:rsid w:val="002E6209"/>
    <w:rsid w:val="002F35A5"/>
    <w:rsid w:val="003001D1"/>
    <w:rsid w:val="00301168"/>
    <w:rsid w:val="00306744"/>
    <w:rsid w:val="0030755C"/>
    <w:rsid w:val="003078C9"/>
    <w:rsid w:val="00311FF4"/>
    <w:rsid w:val="00321E5F"/>
    <w:rsid w:val="00321FE1"/>
    <w:rsid w:val="0032280A"/>
    <w:rsid w:val="00322A67"/>
    <w:rsid w:val="00323F1C"/>
    <w:rsid w:val="00324222"/>
    <w:rsid w:val="0032630D"/>
    <w:rsid w:val="00326374"/>
    <w:rsid w:val="00326821"/>
    <w:rsid w:val="00326B9B"/>
    <w:rsid w:val="003325FB"/>
    <w:rsid w:val="00334304"/>
    <w:rsid w:val="00334F41"/>
    <w:rsid w:val="00335E4A"/>
    <w:rsid w:val="00336837"/>
    <w:rsid w:val="00341880"/>
    <w:rsid w:val="0034393F"/>
    <w:rsid w:val="00344B1C"/>
    <w:rsid w:val="00345A4E"/>
    <w:rsid w:val="003502B3"/>
    <w:rsid w:val="00351CCF"/>
    <w:rsid w:val="003533B6"/>
    <w:rsid w:val="00355B82"/>
    <w:rsid w:val="00356E7A"/>
    <w:rsid w:val="00360111"/>
    <w:rsid w:val="00361D0B"/>
    <w:rsid w:val="00365CF2"/>
    <w:rsid w:val="003721C3"/>
    <w:rsid w:val="00385FD2"/>
    <w:rsid w:val="0039019F"/>
    <w:rsid w:val="0039067B"/>
    <w:rsid w:val="003907D1"/>
    <w:rsid w:val="003911EA"/>
    <w:rsid w:val="00391318"/>
    <w:rsid w:val="00391998"/>
    <w:rsid w:val="00393C9F"/>
    <w:rsid w:val="003A06EC"/>
    <w:rsid w:val="003A09A4"/>
    <w:rsid w:val="003A2265"/>
    <w:rsid w:val="003A73F1"/>
    <w:rsid w:val="003B027A"/>
    <w:rsid w:val="003B0AFE"/>
    <w:rsid w:val="003B3B83"/>
    <w:rsid w:val="003B5A21"/>
    <w:rsid w:val="003B5E67"/>
    <w:rsid w:val="003B6041"/>
    <w:rsid w:val="003B61F5"/>
    <w:rsid w:val="003C13CC"/>
    <w:rsid w:val="003C2330"/>
    <w:rsid w:val="003C4184"/>
    <w:rsid w:val="003C47AE"/>
    <w:rsid w:val="003C4897"/>
    <w:rsid w:val="003C553D"/>
    <w:rsid w:val="003C5964"/>
    <w:rsid w:val="003C74E0"/>
    <w:rsid w:val="003D1588"/>
    <w:rsid w:val="003D444D"/>
    <w:rsid w:val="003D6964"/>
    <w:rsid w:val="003E1980"/>
    <w:rsid w:val="003F08A2"/>
    <w:rsid w:val="003F1737"/>
    <w:rsid w:val="003F297D"/>
    <w:rsid w:val="003F2F52"/>
    <w:rsid w:val="003F3CB2"/>
    <w:rsid w:val="003F4D80"/>
    <w:rsid w:val="003F5992"/>
    <w:rsid w:val="003F6A03"/>
    <w:rsid w:val="00402FD8"/>
    <w:rsid w:val="004037BB"/>
    <w:rsid w:val="00403D22"/>
    <w:rsid w:val="00403EDA"/>
    <w:rsid w:val="00404CAF"/>
    <w:rsid w:val="00405A84"/>
    <w:rsid w:val="0041084F"/>
    <w:rsid w:val="00413305"/>
    <w:rsid w:val="00413511"/>
    <w:rsid w:val="004148F9"/>
    <w:rsid w:val="00416EEF"/>
    <w:rsid w:val="00420B8A"/>
    <w:rsid w:val="00421E91"/>
    <w:rsid w:val="00424329"/>
    <w:rsid w:val="0042772D"/>
    <w:rsid w:val="00427AC1"/>
    <w:rsid w:val="00427E95"/>
    <w:rsid w:val="004315AB"/>
    <w:rsid w:val="0043226A"/>
    <w:rsid w:val="004362FA"/>
    <w:rsid w:val="004369FC"/>
    <w:rsid w:val="00440768"/>
    <w:rsid w:val="00441BA0"/>
    <w:rsid w:val="00443D95"/>
    <w:rsid w:val="00444487"/>
    <w:rsid w:val="00446E52"/>
    <w:rsid w:val="00461567"/>
    <w:rsid w:val="0046236B"/>
    <w:rsid w:val="00462531"/>
    <w:rsid w:val="00465469"/>
    <w:rsid w:val="00465C3B"/>
    <w:rsid w:val="00467F58"/>
    <w:rsid w:val="00471062"/>
    <w:rsid w:val="00471303"/>
    <w:rsid w:val="0047138D"/>
    <w:rsid w:val="00474A02"/>
    <w:rsid w:val="004760F2"/>
    <w:rsid w:val="00476C57"/>
    <w:rsid w:val="00480C7C"/>
    <w:rsid w:val="00480E2F"/>
    <w:rsid w:val="00482D2F"/>
    <w:rsid w:val="0048329E"/>
    <w:rsid w:val="00486958"/>
    <w:rsid w:val="004917A7"/>
    <w:rsid w:val="00491CBB"/>
    <w:rsid w:val="00496944"/>
    <w:rsid w:val="004A1CF9"/>
    <w:rsid w:val="004A382F"/>
    <w:rsid w:val="004B1013"/>
    <w:rsid w:val="004B4A93"/>
    <w:rsid w:val="004C23C7"/>
    <w:rsid w:val="004C519F"/>
    <w:rsid w:val="004C65B0"/>
    <w:rsid w:val="004C6E50"/>
    <w:rsid w:val="004E2C75"/>
    <w:rsid w:val="004E5693"/>
    <w:rsid w:val="004E74A9"/>
    <w:rsid w:val="00500D49"/>
    <w:rsid w:val="00501AAD"/>
    <w:rsid w:val="00503F38"/>
    <w:rsid w:val="00504FF5"/>
    <w:rsid w:val="005075C6"/>
    <w:rsid w:val="0051052C"/>
    <w:rsid w:val="0052076A"/>
    <w:rsid w:val="00525175"/>
    <w:rsid w:val="005255A6"/>
    <w:rsid w:val="00525E6A"/>
    <w:rsid w:val="00525F69"/>
    <w:rsid w:val="0053004E"/>
    <w:rsid w:val="00533BC8"/>
    <w:rsid w:val="0054003D"/>
    <w:rsid w:val="00546679"/>
    <w:rsid w:val="005552B4"/>
    <w:rsid w:val="005577AD"/>
    <w:rsid w:val="00557D72"/>
    <w:rsid w:val="00560962"/>
    <w:rsid w:val="00564542"/>
    <w:rsid w:val="00565858"/>
    <w:rsid w:val="00566D16"/>
    <w:rsid w:val="00566DB7"/>
    <w:rsid w:val="00571383"/>
    <w:rsid w:val="0057477E"/>
    <w:rsid w:val="005752A1"/>
    <w:rsid w:val="0057745C"/>
    <w:rsid w:val="005859A4"/>
    <w:rsid w:val="00585FBF"/>
    <w:rsid w:val="0058607F"/>
    <w:rsid w:val="0059009C"/>
    <w:rsid w:val="0059146A"/>
    <w:rsid w:val="00592019"/>
    <w:rsid w:val="00594832"/>
    <w:rsid w:val="00594A46"/>
    <w:rsid w:val="00596173"/>
    <w:rsid w:val="00597777"/>
    <w:rsid w:val="005A0310"/>
    <w:rsid w:val="005A0C5D"/>
    <w:rsid w:val="005A269A"/>
    <w:rsid w:val="005A2ED6"/>
    <w:rsid w:val="005A413A"/>
    <w:rsid w:val="005A4833"/>
    <w:rsid w:val="005A5099"/>
    <w:rsid w:val="005A555F"/>
    <w:rsid w:val="005A56C9"/>
    <w:rsid w:val="005B1139"/>
    <w:rsid w:val="005B1893"/>
    <w:rsid w:val="005B1978"/>
    <w:rsid w:val="005B59AF"/>
    <w:rsid w:val="005B5B01"/>
    <w:rsid w:val="005C685F"/>
    <w:rsid w:val="005C7049"/>
    <w:rsid w:val="005D1F2F"/>
    <w:rsid w:val="005D7F9C"/>
    <w:rsid w:val="005E0D90"/>
    <w:rsid w:val="005E30DB"/>
    <w:rsid w:val="005F01B8"/>
    <w:rsid w:val="005F3529"/>
    <w:rsid w:val="005F3DE1"/>
    <w:rsid w:val="005F47F3"/>
    <w:rsid w:val="005F6EB5"/>
    <w:rsid w:val="0061097D"/>
    <w:rsid w:val="00611474"/>
    <w:rsid w:val="006141F5"/>
    <w:rsid w:val="00621C9A"/>
    <w:rsid w:val="00627224"/>
    <w:rsid w:val="006275AB"/>
    <w:rsid w:val="0063011F"/>
    <w:rsid w:val="006310DA"/>
    <w:rsid w:val="00631906"/>
    <w:rsid w:val="006348F9"/>
    <w:rsid w:val="006377B9"/>
    <w:rsid w:val="00640446"/>
    <w:rsid w:val="00642206"/>
    <w:rsid w:val="00642820"/>
    <w:rsid w:val="00643249"/>
    <w:rsid w:val="006433B8"/>
    <w:rsid w:val="00643F7B"/>
    <w:rsid w:val="006472DB"/>
    <w:rsid w:val="00651CE7"/>
    <w:rsid w:val="00653604"/>
    <w:rsid w:val="00663231"/>
    <w:rsid w:val="00665107"/>
    <w:rsid w:val="00665EA9"/>
    <w:rsid w:val="00670AAB"/>
    <w:rsid w:val="00670FD0"/>
    <w:rsid w:val="00673A22"/>
    <w:rsid w:val="00674232"/>
    <w:rsid w:val="00677927"/>
    <w:rsid w:val="00680D4C"/>
    <w:rsid w:val="00681341"/>
    <w:rsid w:val="00682097"/>
    <w:rsid w:val="00685D52"/>
    <w:rsid w:val="00686840"/>
    <w:rsid w:val="0068750F"/>
    <w:rsid w:val="006901AE"/>
    <w:rsid w:val="0069181B"/>
    <w:rsid w:val="00692E0E"/>
    <w:rsid w:val="00693A84"/>
    <w:rsid w:val="006952B7"/>
    <w:rsid w:val="006A11E6"/>
    <w:rsid w:val="006A18D6"/>
    <w:rsid w:val="006A51FF"/>
    <w:rsid w:val="006B0AAF"/>
    <w:rsid w:val="006B2CD3"/>
    <w:rsid w:val="006B5DB1"/>
    <w:rsid w:val="006D08CC"/>
    <w:rsid w:val="006D10FD"/>
    <w:rsid w:val="006E14E1"/>
    <w:rsid w:val="006E1B31"/>
    <w:rsid w:val="006E2A9D"/>
    <w:rsid w:val="006E2B73"/>
    <w:rsid w:val="006E2CFE"/>
    <w:rsid w:val="006E39A4"/>
    <w:rsid w:val="006E5EE7"/>
    <w:rsid w:val="006F42E9"/>
    <w:rsid w:val="006F49A2"/>
    <w:rsid w:val="006F5AC1"/>
    <w:rsid w:val="006F6E99"/>
    <w:rsid w:val="006F7A50"/>
    <w:rsid w:val="00701EDA"/>
    <w:rsid w:val="00703CE7"/>
    <w:rsid w:val="00703F1B"/>
    <w:rsid w:val="00704961"/>
    <w:rsid w:val="007052A3"/>
    <w:rsid w:val="00711AA3"/>
    <w:rsid w:val="00714400"/>
    <w:rsid w:val="00714A45"/>
    <w:rsid w:val="0071602D"/>
    <w:rsid w:val="00722460"/>
    <w:rsid w:val="007232A5"/>
    <w:rsid w:val="00724460"/>
    <w:rsid w:val="0073215D"/>
    <w:rsid w:val="0073305A"/>
    <w:rsid w:val="007455D6"/>
    <w:rsid w:val="007518B7"/>
    <w:rsid w:val="00753496"/>
    <w:rsid w:val="00764617"/>
    <w:rsid w:val="007655D5"/>
    <w:rsid w:val="0077289D"/>
    <w:rsid w:val="00777915"/>
    <w:rsid w:val="00781603"/>
    <w:rsid w:val="00781B77"/>
    <w:rsid w:val="00784E14"/>
    <w:rsid w:val="00792CCF"/>
    <w:rsid w:val="00795411"/>
    <w:rsid w:val="00797633"/>
    <w:rsid w:val="00797ED0"/>
    <w:rsid w:val="007A1A27"/>
    <w:rsid w:val="007A5B6E"/>
    <w:rsid w:val="007B78F1"/>
    <w:rsid w:val="007C1727"/>
    <w:rsid w:val="007C1C2A"/>
    <w:rsid w:val="007C24B2"/>
    <w:rsid w:val="007C26FA"/>
    <w:rsid w:val="007C2F3C"/>
    <w:rsid w:val="007C74CD"/>
    <w:rsid w:val="007C788A"/>
    <w:rsid w:val="007D0C01"/>
    <w:rsid w:val="007D298F"/>
    <w:rsid w:val="007D7190"/>
    <w:rsid w:val="007E4D37"/>
    <w:rsid w:val="007E59D4"/>
    <w:rsid w:val="007E61FA"/>
    <w:rsid w:val="007E70FC"/>
    <w:rsid w:val="007F44B6"/>
    <w:rsid w:val="008012BD"/>
    <w:rsid w:val="00802D7F"/>
    <w:rsid w:val="00811B1F"/>
    <w:rsid w:val="008123D8"/>
    <w:rsid w:val="00813E2C"/>
    <w:rsid w:val="008151D1"/>
    <w:rsid w:val="00822549"/>
    <w:rsid w:val="00823163"/>
    <w:rsid w:val="00827C44"/>
    <w:rsid w:val="0083173D"/>
    <w:rsid w:val="00832B05"/>
    <w:rsid w:val="00832CB0"/>
    <w:rsid w:val="00833403"/>
    <w:rsid w:val="00836329"/>
    <w:rsid w:val="0084456D"/>
    <w:rsid w:val="008502BA"/>
    <w:rsid w:val="008570FF"/>
    <w:rsid w:val="00860923"/>
    <w:rsid w:val="00861214"/>
    <w:rsid w:val="00863411"/>
    <w:rsid w:val="00865469"/>
    <w:rsid w:val="0086799B"/>
    <w:rsid w:val="00872EB5"/>
    <w:rsid w:val="00873084"/>
    <w:rsid w:val="00877059"/>
    <w:rsid w:val="0088049C"/>
    <w:rsid w:val="00881EBB"/>
    <w:rsid w:val="00885134"/>
    <w:rsid w:val="00893A56"/>
    <w:rsid w:val="00893C89"/>
    <w:rsid w:val="00894C62"/>
    <w:rsid w:val="00895107"/>
    <w:rsid w:val="00896D8E"/>
    <w:rsid w:val="0089789D"/>
    <w:rsid w:val="008A0311"/>
    <w:rsid w:val="008A23C4"/>
    <w:rsid w:val="008A36D8"/>
    <w:rsid w:val="008A37B3"/>
    <w:rsid w:val="008A741F"/>
    <w:rsid w:val="008B3BA3"/>
    <w:rsid w:val="008B6699"/>
    <w:rsid w:val="008B76DA"/>
    <w:rsid w:val="008C1AF6"/>
    <w:rsid w:val="008C275E"/>
    <w:rsid w:val="008C3CF3"/>
    <w:rsid w:val="008C5779"/>
    <w:rsid w:val="008D24F3"/>
    <w:rsid w:val="008D2741"/>
    <w:rsid w:val="008D4D11"/>
    <w:rsid w:val="008E0973"/>
    <w:rsid w:val="008E241F"/>
    <w:rsid w:val="008E4E0E"/>
    <w:rsid w:val="008E61A3"/>
    <w:rsid w:val="008F44CD"/>
    <w:rsid w:val="008F71B1"/>
    <w:rsid w:val="00902B5C"/>
    <w:rsid w:val="00903222"/>
    <w:rsid w:val="009032D7"/>
    <w:rsid w:val="00903459"/>
    <w:rsid w:val="009035E3"/>
    <w:rsid w:val="009076AA"/>
    <w:rsid w:val="00912CA6"/>
    <w:rsid w:val="00915061"/>
    <w:rsid w:val="009168B0"/>
    <w:rsid w:val="00917768"/>
    <w:rsid w:val="0092418F"/>
    <w:rsid w:val="009321A1"/>
    <w:rsid w:val="00934E15"/>
    <w:rsid w:val="00936969"/>
    <w:rsid w:val="00937D62"/>
    <w:rsid w:val="00944037"/>
    <w:rsid w:val="00951333"/>
    <w:rsid w:val="009534A7"/>
    <w:rsid w:val="00954327"/>
    <w:rsid w:val="009554D1"/>
    <w:rsid w:val="00955835"/>
    <w:rsid w:val="009566D5"/>
    <w:rsid w:val="009620AA"/>
    <w:rsid w:val="0096452A"/>
    <w:rsid w:val="00964A77"/>
    <w:rsid w:val="00967D19"/>
    <w:rsid w:val="0097246C"/>
    <w:rsid w:val="00972BD8"/>
    <w:rsid w:val="009749D2"/>
    <w:rsid w:val="00975A93"/>
    <w:rsid w:val="00975C2C"/>
    <w:rsid w:val="00977DB6"/>
    <w:rsid w:val="00984A80"/>
    <w:rsid w:val="00987E46"/>
    <w:rsid w:val="00990585"/>
    <w:rsid w:val="0099669E"/>
    <w:rsid w:val="00997382"/>
    <w:rsid w:val="009976E2"/>
    <w:rsid w:val="009A07F1"/>
    <w:rsid w:val="009A5A4C"/>
    <w:rsid w:val="009B146C"/>
    <w:rsid w:val="009B2FF3"/>
    <w:rsid w:val="009B3CE1"/>
    <w:rsid w:val="009B507C"/>
    <w:rsid w:val="009B66EF"/>
    <w:rsid w:val="009C09EF"/>
    <w:rsid w:val="009C36FB"/>
    <w:rsid w:val="009C4543"/>
    <w:rsid w:val="009D109C"/>
    <w:rsid w:val="009E557E"/>
    <w:rsid w:val="009E66CA"/>
    <w:rsid w:val="009E6A50"/>
    <w:rsid w:val="009E79D9"/>
    <w:rsid w:val="009F4D6A"/>
    <w:rsid w:val="009F5C05"/>
    <w:rsid w:val="009F6642"/>
    <w:rsid w:val="00A00D54"/>
    <w:rsid w:val="00A05F94"/>
    <w:rsid w:val="00A11296"/>
    <w:rsid w:val="00A15434"/>
    <w:rsid w:val="00A16DA2"/>
    <w:rsid w:val="00A201FA"/>
    <w:rsid w:val="00A214BB"/>
    <w:rsid w:val="00A217AC"/>
    <w:rsid w:val="00A21808"/>
    <w:rsid w:val="00A21EBA"/>
    <w:rsid w:val="00A2239E"/>
    <w:rsid w:val="00A2271D"/>
    <w:rsid w:val="00A27C7C"/>
    <w:rsid w:val="00A30DC9"/>
    <w:rsid w:val="00A3140B"/>
    <w:rsid w:val="00A31DEE"/>
    <w:rsid w:val="00A3270E"/>
    <w:rsid w:val="00A36356"/>
    <w:rsid w:val="00A431A0"/>
    <w:rsid w:val="00A5681E"/>
    <w:rsid w:val="00A61CA3"/>
    <w:rsid w:val="00A645AE"/>
    <w:rsid w:val="00A66BB9"/>
    <w:rsid w:val="00A670EE"/>
    <w:rsid w:val="00A67483"/>
    <w:rsid w:val="00A721F2"/>
    <w:rsid w:val="00A746D0"/>
    <w:rsid w:val="00A7481F"/>
    <w:rsid w:val="00A761B2"/>
    <w:rsid w:val="00A82E82"/>
    <w:rsid w:val="00A836CE"/>
    <w:rsid w:val="00A84AAA"/>
    <w:rsid w:val="00A87B14"/>
    <w:rsid w:val="00A9202D"/>
    <w:rsid w:val="00A92BD0"/>
    <w:rsid w:val="00A95744"/>
    <w:rsid w:val="00AA00AC"/>
    <w:rsid w:val="00AA5B54"/>
    <w:rsid w:val="00AB3057"/>
    <w:rsid w:val="00AB784E"/>
    <w:rsid w:val="00AC06FF"/>
    <w:rsid w:val="00AC31B9"/>
    <w:rsid w:val="00AC44DD"/>
    <w:rsid w:val="00AD025E"/>
    <w:rsid w:val="00AD0E9A"/>
    <w:rsid w:val="00AD3D40"/>
    <w:rsid w:val="00AE359E"/>
    <w:rsid w:val="00AE3722"/>
    <w:rsid w:val="00AE3CA1"/>
    <w:rsid w:val="00AF39DC"/>
    <w:rsid w:val="00AF4476"/>
    <w:rsid w:val="00AF538C"/>
    <w:rsid w:val="00AF7220"/>
    <w:rsid w:val="00B004AE"/>
    <w:rsid w:val="00B00778"/>
    <w:rsid w:val="00B00A3A"/>
    <w:rsid w:val="00B047C2"/>
    <w:rsid w:val="00B06AAE"/>
    <w:rsid w:val="00B123D0"/>
    <w:rsid w:val="00B127A9"/>
    <w:rsid w:val="00B13A6D"/>
    <w:rsid w:val="00B14729"/>
    <w:rsid w:val="00B15C14"/>
    <w:rsid w:val="00B163A4"/>
    <w:rsid w:val="00B21ED4"/>
    <w:rsid w:val="00B21FB0"/>
    <w:rsid w:val="00B25FE8"/>
    <w:rsid w:val="00B30A8B"/>
    <w:rsid w:val="00B33EBF"/>
    <w:rsid w:val="00B37F75"/>
    <w:rsid w:val="00B40211"/>
    <w:rsid w:val="00B40A34"/>
    <w:rsid w:val="00B420D9"/>
    <w:rsid w:val="00B4320B"/>
    <w:rsid w:val="00B44BA6"/>
    <w:rsid w:val="00B5114D"/>
    <w:rsid w:val="00B51CF4"/>
    <w:rsid w:val="00B557C7"/>
    <w:rsid w:val="00B57543"/>
    <w:rsid w:val="00B64C13"/>
    <w:rsid w:val="00B64CC9"/>
    <w:rsid w:val="00B726A8"/>
    <w:rsid w:val="00B76F75"/>
    <w:rsid w:val="00B83610"/>
    <w:rsid w:val="00B90985"/>
    <w:rsid w:val="00B9193D"/>
    <w:rsid w:val="00B9270F"/>
    <w:rsid w:val="00B930B7"/>
    <w:rsid w:val="00B9610F"/>
    <w:rsid w:val="00B97EC4"/>
    <w:rsid w:val="00BA2D9D"/>
    <w:rsid w:val="00BA64B4"/>
    <w:rsid w:val="00BB2956"/>
    <w:rsid w:val="00BB49FC"/>
    <w:rsid w:val="00BC52B8"/>
    <w:rsid w:val="00BC626A"/>
    <w:rsid w:val="00BC749A"/>
    <w:rsid w:val="00BC7ED8"/>
    <w:rsid w:val="00BD2DB0"/>
    <w:rsid w:val="00BD353A"/>
    <w:rsid w:val="00BD3D80"/>
    <w:rsid w:val="00BD60D4"/>
    <w:rsid w:val="00BD61C6"/>
    <w:rsid w:val="00BD7774"/>
    <w:rsid w:val="00BD7AC9"/>
    <w:rsid w:val="00BE1402"/>
    <w:rsid w:val="00BE1FDA"/>
    <w:rsid w:val="00BE2D47"/>
    <w:rsid w:val="00BE34E6"/>
    <w:rsid w:val="00BE51A2"/>
    <w:rsid w:val="00BE618C"/>
    <w:rsid w:val="00BE6571"/>
    <w:rsid w:val="00BE75FC"/>
    <w:rsid w:val="00BF1121"/>
    <w:rsid w:val="00BF14DD"/>
    <w:rsid w:val="00BF1FE7"/>
    <w:rsid w:val="00BF29A5"/>
    <w:rsid w:val="00BF7601"/>
    <w:rsid w:val="00BF792C"/>
    <w:rsid w:val="00C00627"/>
    <w:rsid w:val="00C01F69"/>
    <w:rsid w:val="00C02BAE"/>
    <w:rsid w:val="00C062D9"/>
    <w:rsid w:val="00C075B8"/>
    <w:rsid w:val="00C100A8"/>
    <w:rsid w:val="00C10301"/>
    <w:rsid w:val="00C11ED5"/>
    <w:rsid w:val="00C133DC"/>
    <w:rsid w:val="00C14800"/>
    <w:rsid w:val="00C157E1"/>
    <w:rsid w:val="00C22DC7"/>
    <w:rsid w:val="00C2614B"/>
    <w:rsid w:val="00C2724D"/>
    <w:rsid w:val="00C30816"/>
    <w:rsid w:val="00C323DE"/>
    <w:rsid w:val="00C34C74"/>
    <w:rsid w:val="00C35DC8"/>
    <w:rsid w:val="00C36823"/>
    <w:rsid w:val="00C37033"/>
    <w:rsid w:val="00C41A1B"/>
    <w:rsid w:val="00C42779"/>
    <w:rsid w:val="00C43A8D"/>
    <w:rsid w:val="00C55D48"/>
    <w:rsid w:val="00C5794F"/>
    <w:rsid w:val="00C67A77"/>
    <w:rsid w:val="00C74BD8"/>
    <w:rsid w:val="00C75028"/>
    <w:rsid w:val="00C75A7F"/>
    <w:rsid w:val="00C75F6E"/>
    <w:rsid w:val="00C828C5"/>
    <w:rsid w:val="00C85947"/>
    <w:rsid w:val="00C87A88"/>
    <w:rsid w:val="00C91605"/>
    <w:rsid w:val="00C932E9"/>
    <w:rsid w:val="00C96D5B"/>
    <w:rsid w:val="00CA5571"/>
    <w:rsid w:val="00CB397A"/>
    <w:rsid w:val="00CB4455"/>
    <w:rsid w:val="00CB57F2"/>
    <w:rsid w:val="00CC284F"/>
    <w:rsid w:val="00CC3411"/>
    <w:rsid w:val="00CC4206"/>
    <w:rsid w:val="00CC51CC"/>
    <w:rsid w:val="00CC52FE"/>
    <w:rsid w:val="00CC6DA4"/>
    <w:rsid w:val="00CD0691"/>
    <w:rsid w:val="00CD0D7C"/>
    <w:rsid w:val="00CD348D"/>
    <w:rsid w:val="00CD74A4"/>
    <w:rsid w:val="00CF0AE3"/>
    <w:rsid w:val="00CF58E5"/>
    <w:rsid w:val="00CF7FF0"/>
    <w:rsid w:val="00D04B8F"/>
    <w:rsid w:val="00D117FF"/>
    <w:rsid w:val="00D24143"/>
    <w:rsid w:val="00D2469D"/>
    <w:rsid w:val="00D2561F"/>
    <w:rsid w:val="00D31403"/>
    <w:rsid w:val="00D31791"/>
    <w:rsid w:val="00D324F4"/>
    <w:rsid w:val="00D3499F"/>
    <w:rsid w:val="00D34D2C"/>
    <w:rsid w:val="00D4272A"/>
    <w:rsid w:val="00D427C5"/>
    <w:rsid w:val="00D44D99"/>
    <w:rsid w:val="00D45336"/>
    <w:rsid w:val="00D52561"/>
    <w:rsid w:val="00D569FF"/>
    <w:rsid w:val="00D60154"/>
    <w:rsid w:val="00D60CA3"/>
    <w:rsid w:val="00D61C1A"/>
    <w:rsid w:val="00D6356C"/>
    <w:rsid w:val="00D70258"/>
    <w:rsid w:val="00D70C31"/>
    <w:rsid w:val="00D7340E"/>
    <w:rsid w:val="00D76710"/>
    <w:rsid w:val="00D8002F"/>
    <w:rsid w:val="00D8485B"/>
    <w:rsid w:val="00D84AA0"/>
    <w:rsid w:val="00DA2435"/>
    <w:rsid w:val="00DA4B8C"/>
    <w:rsid w:val="00DA67BE"/>
    <w:rsid w:val="00DA6C85"/>
    <w:rsid w:val="00DB0233"/>
    <w:rsid w:val="00DB0366"/>
    <w:rsid w:val="00DB0B9D"/>
    <w:rsid w:val="00DB3973"/>
    <w:rsid w:val="00DB6BC0"/>
    <w:rsid w:val="00DC21F0"/>
    <w:rsid w:val="00DC3289"/>
    <w:rsid w:val="00DC46B5"/>
    <w:rsid w:val="00DD159A"/>
    <w:rsid w:val="00DD6251"/>
    <w:rsid w:val="00DE0154"/>
    <w:rsid w:val="00DE2ECF"/>
    <w:rsid w:val="00DE40EB"/>
    <w:rsid w:val="00DE69B4"/>
    <w:rsid w:val="00DF0FD8"/>
    <w:rsid w:val="00DF2ABC"/>
    <w:rsid w:val="00DF434E"/>
    <w:rsid w:val="00DF5D8B"/>
    <w:rsid w:val="00DF6A5C"/>
    <w:rsid w:val="00E01359"/>
    <w:rsid w:val="00E01D97"/>
    <w:rsid w:val="00E030E5"/>
    <w:rsid w:val="00E06030"/>
    <w:rsid w:val="00E0678C"/>
    <w:rsid w:val="00E06B80"/>
    <w:rsid w:val="00E07441"/>
    <w:rsid w:val="00E076D2"/>
    <w:rsid w:val="00E07C15"/>
    <w:rsid w:val="00E12ACA"/>
    <w:rsid w:val="00E168DF"/>
    <w:rsid w:val="00E16B72"/>
    <w:rsid w:val="00E229A5"/>
    <w:rsid w:val="00E23B70"/>
    <w:rsid w:val="00E244CE"/>
    <w:rsid w:val="00E26E54"/>
    <w:rsid w:val="00E2779E"/>
    <w:rsid w:val="00E34585"/>
    <w:rsid w:val="00E37E42"/>
    <w:rsid w:val="00E410A6"/>
    <w:rsid w:val="00E43E4D"/>
    <w:rsid w:val="00E44F25"/>
    <w:rsid w:val="00E45550"/>
    <w:rsid w:val="00E46AD2"/>
    <w:rsid w:val="00E52135"/>
    <w:rsid w:val="00E55C61"/>
    <w:rsid w:val="00E56839"/>
    <w:rsid w:val="00E56D28"/>
    <w:rsid w:val="00E57D5B"/>
    <w:rsid w:val="00E57DE6"/>
    <w:rsid w:val="00E61702"/>
    <w:rsid w:val="00E61D90"/>
    <w:rsid w:val="00E63637"/>
    <w:rsid w:val="00E66286"/>
    <w:rsid w:val="00E70993"/>
    <w:rsid w:val="00E71354"/>
    <w:rsid w:val="00E72CF2"/>
    <w:rsid w:val="00E773C4"/>
    <w:rsid w:val="00E8147C"/>
    <w:rsid w:val="00E8752A"/>
    <w:rsid w:val="00E93166"/>
    <w:rsid w:val="00E94192"/>
    <w:rsid w:val="00E95081"/>
    <w:rsid w:val="00E957FD"/>
    <w:rsid w:val="00E960EA"/>
    <w:rsid w:val="00E96AF8"/>
    <w:rsid w:val="00E96B76"/>
    <w:rsid w:val="00E96FDC"/>
    <w:rsid w:val="00EA029C"/>
    <w:rsid w:val="00EA3899"/>
    <w:rsid w:val="00EA50EF"/>
    <w:rsid w:val="00EB0735"/>
    <w:rsid w:val="00EB0FB7"/>
    <w:rsid w:val="00EB1640"/>
    <w:rsid w:val="00EB182A"/>
    <w:rsid w:val="00EB2335"/>
    <w:rsid w:val="00EB3257"/>
    <w:rsid w:val="00EB7678"/>
    <w:rsid w:val="00EB7CD4"/>
    <w:rsid w:val="00EB7DE8"/>
    <w:rsid w:val="00EC060A"/>
    <w:rsid w:val="00EC063B"/>
    <w:rsid w:val="00EC10D8"/>
    <w:rsid w:val="00EC293F"/>
    <w:rsid w:val="00EC45D5"/>
    <w:rsid w:val="00EC555B"/>
    <w:rsid w:val="00EC5BBA"/>
    <w:rsid w:val="00ED0B92"/>
    <w:rsid w:val="00ED14DF"/>
    <w:rsid w:val="00ED3E65"/>
    <w:rsid w:val="00ED444B"/>
    <w:rsid w:val="00ED5377"/>
    <w:rsid w:val="00ED5E0A"/>
    <w:rsid w:val="00EE1D0E"/>
    <w:rsid w:val="00EE29CC"/>
    <w:rsid w:val="00EE3783"/>
    <w:rsid w:val="00EF178A"/>
    <w:rsid w:val="00EF3646"/>
    <w:rsid w:val="00EF3FEA"/>
    <w:rsid w:val="00F01080"/>
    <w:rsid w:val="00F03D15"/>
    <w:rsid w:val="00F04AF3"/>
    <w:rsid w:val="00F04B52"/>
    <w:rsid w:val="00F10109"/>
    <w:rsid w:val="00F11B47"/>
    <w:rsid w:val="00F131F9"/>
    <w:rsid w:val="00F14E6B"/>
    <w:rsid w:val="00F27F07"/>
    <w:rsid w:val="00F37254"/>
    <w:rsid w:val="00F401A0"/>
    <w:rsid w:val="00F4052C"/>
    <w:rsid w:val="00F40ABD"/>
    <w:rsid w:val="00F41BC8"/>
    <w:rsid w:val="00F44B52"/>
    <w:rsid w:val="00F451DC"/>
    <w:rsid w:val="00F4552C"/>
    <w:rsid w:val="00F45ABF"/>
    <w:rsid w:val="00F50717"/>
    <w:rsid w:val="00F567F4"/>
    <w:rsid w:val="00F63276"/>
    <w:rsid w:val="00F6389E"/>
    <w:rsid w:val="00F65395"/>
    <w:rsid w:val="00F70958"/>
    <w:rsid w:val="00F70D86"/>
    <w:rsid w:val="00F7138A"/>
    <w:rsid w:val="00F714A3"/>
    <w:rsid w:val="00F760F2"/>
    <w:rsid w:val="00F7740A"/>
    <w:rsid w:val="00F81494"/>
    <w:rsid w:val="00F831D0"/>
    <w:rsid w:val="00F858BA"/>
    <w:rsid w:val="00F870B1"/>
    <w:rsid w:val="00F90C46"/>
    <w:rsid w:val="00F92A74"/>
    <w:rsid w:val="00F93CC1"/>
    <w:rsid w:val="00F93D3C"/>
    <w:rsid w:val="00F96208"/>
    <w:rsid w:val="00FA0C0E"/>
    <w:rsid w:val="00FA0C19"/>
    <w:rsid w:val="00FA298C"/>
    <w:rsid w:val="00FA3136"/>
    <w:rsid w:val="00FA3AD2"/>
    <w:rsid w:val="00FB1BFB"/>
    <w:rsid w:val="00FB4F8E"/>
    <w:rsid w:val="00FB5933"/>
    <w:rsid w:val="00FC1758"/>
    <w:rsid w:val="00FC1B7D"/>
    <w:rsid w:val="00FC1B92"/>
    <w:rsid w:val="00FC3B14"/>
    <w:rsid w:val="00FC4530"/>
    <w:rsid w:val="00FC58C5"/>
    <w:rsid w:val="00FD6B2A"/>
    <w:rsid w:val="00FE2BF1"/>
    <w:rsid w:val="00FE2E7F"/>
    <w:rsid w:val="00FE4C34"/>
    <w:rsid w:val="00FE79E6"/>
    <w:rsid w:val="00FF51C1"/>
    <w:rsid w:val="00FF58C2"/>
    <w:rsid w:val="00FF6443"/>
    <w:rsid w:val="00FF6FBC"/>
    <w:rsid w:val="011B61E8"/>
    <w:rsid w:val="019D55FE"/>
    <w:rsid w:val="019F3603"/>
    <w:rsid w:val="01AF64A6"/>
    <w:rsid w:val="020B07BA"/>
    <w:rsid w:val="0277009C"/>
    <w:rsid w:val="02DB6E7E"/>
    <w:rsid w:val="0332621A"/>
    <w:rsid w:val="034811C7"/>
    <w:rsid w:val="036627EB"/>
    <w:rsid w:val="03B95FF4"/>
    <w:rsid w:val="046C420D"/>
    <w:rsid w:val="04F7033A"/>
    <w:rsid w:val="050F6813"/>
    <w:rsid w:val="05421156"/>
    <w:rsid w:val="055C132D"/>
    <w:rsid w:val="05860158"/>
    <w:rsid w:val="05AC22B4"/>
    <w:rsid w:val="06112BA2"/>
    <w:rsid w:val="069732F4"/>
    <w:rsid w:val="088809B5"/>
    <w:rsid w:val="08946725"/>
    <w:rsid w:val="08CE0793"/>
    <w:rsid w:val="091905EC"/>
    <w:rsid w:val="09232EDA"/>
    <w:rsid w:val="099F2D35"/>
    <w:rsid w:val="09E85885"/>
    <w:rsid w:val="0A1D3AB9"/>
    <w:rsid w:val="0A6F131A"/>
    <w:rsid w:val="0A892BC4"/>
    <w:rsid w:val="0AB17A25"/>
    <w:rsid w:val="0ACF434F"/>
    <w:rsid w:val="0BE61950"/>
    <w:rsid w:val="0C50326D"/>
    <w:rsid w:val="0C625F1A"/>
    <w:rsid w:val="0CEB323D"/>
    <w:rsid w:val="0D8C6527"/>
    <w:rsid w:val="0DD92BF4"/>
    <w:rsid w:val="0DE31C92"/>
    <w:rsid w:val="0E2B24B2"/>
    <w:rsid w:val="0E524A33"/>
    <w:rsid w:val="0E592D8D"/>
    <w:rsid w:val="0F262DEA"/>
    <w:rsid w:val="10190971"/>
    <w:rsid w:val="10FD4FAC"/>
    <w:rsid w:val="111331E7"/>
    <w:rsid w:val="11534FFE"/>
    <w:rsid w:val="116E48C1"/>
    <w:rsid w:val="11FC3C7B"/>
    <w:rsid w:val="12152F8F"/>
    <w:rsid w:val="12633F06"/>
    <w:rsid w:val="12685A3B"/>
    <w:rsid w:val="12E52DC9"/>
    <w:rsid w:val="131A2DF4"/>
    <w:rsid w:val="13730200"/>
    <w:rsid w:val="13954387"/>
    <w:rsid w:val="14186D67"/>
    <w:rsid w:val="14452AF3"/>
    <w:rsid w:val="15D254DE"/>
    <w:rsid w:val="163215F7"/>
    <w:rsid w:val="164200CB"/>
    <w:rsid w:val="166167A3"/>
    <w:rsid w:val="166B3FFA"/>
    <w:rsid w:val="167272C8"/>
    <w:rsid w:val="170126C3"/>
    <w:rsid w:val="172C5003"/>
    <w:rsid w:val="17363D01"/>
    <w:rsid w:val="1881312C"/>
    <w:rsid w:val="19175B92"/>
    <w:rsid w:val="191F64A1"/>
    <w:rsid w:val="19653995"/>
    <w:rsid w:val="196D1903"/>
    <w:rsid w:val="198F1879"/>
    <w:rsid w:val="19C02B62"/>
    <w:rsid w:val="1A6E5F55"/>
    <w:rsid w:val="1A8C6630"/>
    <w:rsid w:val="1AA43102"/>
    <w:rsid w:val="1B4D72F6"/>
    <w:rsid w:val="1B634D6B"/>
    <w:rsid w:val="1B9F5ED4"/>
    <w:rsid w:val="1C986C96"/>
    <w:rsid w:val="1C9E37E6"/>
    <w:rsid w:val="1CA15771"/>
    <w:rsid w:val="1E0565AE"/>
    <w:rsid w:val="1E3D26B5"/>
    <w:rsid w:val="1E7B23CC"/>
    <w:rsid w:val="1EB51D82"/>
    <w:rsid w:val="1F4629DA"/>
    <w:rsid w:val="1F7A6A81"/>
    <w:rsid w:val="20043BA5"/>
    <w:rsid w:val="20784E15"/>
    <w:rsid w:val="2114292B"/>
    <w:rsid w:val="21BC1551"/>
    <w:rsid w:val="22A75E85"/>
    <w:rsid w:val="22E5250A"/>
    <w:rsid w:val="2386616B"/>
    <w:rsid w:val="23871054"/>
    <w:rsid w:val="23BE15DB"/>
    <w:rsid w:val="23EE53EE"/>
    <w:rsid w:val="2519649B"/>
    <w:rsid w:val="25501FC6"/>
    <w:rsid w:val="26606A77"/>
    <w:rsid w:val="26835D38"/>
    <w:rsid w:val="2685028B"/>
    <w:rsid w:val="269D4265"/>
    <w:rsid w:val="26B11081"/>
    <w:rsid w:val="27C546B8"/>
    <w:rsid w:val="28612632"/>
    <w:rsid w:val="28787180"/>
    <w:rsid w:val="287F6F5C"/>
    <w:rsid w:val="28810F26"/>
    <w:rsid w:val="28FB2A87"/>
    <w:rsid w:val="29E40748"/>
    <w:rsid w:val="2A2658E2"/>
    <w:rsid w:val="2A7A0694"/>
    <w:rsid w:val="2B2C20CF"/>
    <w:rsid w:val="2B545AEC"/>
    <w:rsid w:val="2BAD5B8F"/>
    <w:rsid w:val="2BC8130D"/>
    <w:rsid w:val="2BCC24B9"/>
    <w:rsid w:val="2BF437BD"/>
    <w:rsid w:val="2C3044D1"/>
    <w:rsid w:val="2C4D7045"/>
    <w:rsid w:val="2CE40B5F"/>
    <w:rsid w:val="2D0A773C"/>
    <w:rsid w:val="2D6F134E"/>
    <w:rsid w:val="2EB37DAC"/>
    <w:rsid w:val="2EF06845"/>
    <w:rsid w:val="2F145890"/>
    <w:rsid w:val="2F415AAB"/>
    <w:rsid w:val="2FE9636A"/>
    <w:rsid w:val="30CC5EA1"/>
    <w:rsid w:val="314D7BF8"/>
    <w:rsid w:val="316A0071"/>
    <w:rsid w:val="317909ED"/>
    <w:rsid w:val="319C292D"/>
    <w:rsid w:val="31A16195"/>
    <w:rsid w:val="321626E0"/>
    <w:rsid w:val="3255145A"/>
    <w:rsid w:val="32981347"/>
    <w:rsid w:val="33587381"/>
    <w:rsid w:val="339C6C14"/>
    <w:rsid w:val="33D77C84"/>
    <w:rsid w:val="33E65331"/>
    <w:rsid w:val="34A01C68"/>
    <w:rsid w:val="34E268A9"/>
    <w:rsid w:val="35AE5B04"/>
    <w:rsid w:val="35BE6B20"/>
    <w:rsid w:val="36821D12"/>
    <w:rsid w:val="37AA0804"/>
    <w:rsid w:val="38995E18"/>
    <w:rsid w:val="39BA54A9"/>
    <w:rsid w:val="3A571AE7"/>
    <w:rsid w:val="3A6B10EF"/>
    <w:rsid w:val="3BB6283D"/>
    <w:rsid w:val="3BE21884"/>
    <w:rsid w:val="3BF37272"/>
    <w:rsid w:val="3C346CB0"/>
    <w:rsid w:val="3C6127A9"/>
    <w:rsid w:val="3CE84C78"/>
    <w:rsid w:val="3D673DEF"/>
    <w:rsid w:val="3D964098"/>
    <w:rsid w:val="3E021D6A"/>
    <w:rsid w:val="3E9B367A"/>
    <w:rsid w:val="3EA27A4F"/>
    <w:rsid w:val="3EAE5A4E"/>
    <w:rsid w:val="3F087854"/>
    <w:rsid w:val="3F1C50AD"/>
    <w:rsid w:val="3F6B751A"/>
    <w:rsid w:val="3FE060DB"/>
    <w:rsid w:val="40A62E81"/>
    <w:rsid w:val="40D45005"/>
    <w:rsid w:val="41031EBC"/>
    <w:rsid w:val="41046D6B"/>
    <w:rsid w:val="41D659E7"/>
    <w:rsid w:val="42025F3F"/>
    <w:rsid w:val="420B428F"/>
    <w:rsid w:val="42274495"/>
    <w:rsid w:val="42436AFC"/>
    <w:rsid w:val="42703746"/>
    <w:rsid w:val="42C57F36"/>
    <w:rsid w:val="43BE658D"/>
    <w:rsid w:val="43F81C45"/>
    <w:rsid w:val="44380293"/>
    <w:rsid w:val="448F50BB"/>
    <w:rsid w:val="44D37FBC"/>
    <w:rsid w:val="452F5142"/>
    <w:rsid w:val="45395141"/>
    <w:rsid w:val="458319E2"/>
    <w:rsid w:val="458A55B2"/>
    <w:rsid w:val="46326F64"/>
    <w:rsid w:val="4665670A"/>
    <w:rsid w:val="46780E1B"/>
    <w:rsid w:val="472114B3"/>
    <w:rsid w:val="48013092"/>
    <w:rsid w:val="49066BB2"/>
    <w:rsid w:val="490966A2"/>
    <w:rsid w:val="49861AA1"/>
    <w:rsid w:val="49BC0248"/>
    <w:rsid w:val="49C12AD9"/>
    <w:rsid w:val="4B35552D"/>
    <w:rsid w:val="4C743122"/>
    <w:rsid w:val="4CE0596C"/>
    <w:rsid w:val="4D5D53AB"/>
    <w:rsid w:val="4DB766CD"/>
    <w:rsid w:val="4DF55A28"/>
    <w:rsid w:val="4E0519A1"/>
    <w:rsid w:val="4F6C4A22"/>
    <w:rsid w:val="4FAE3B00"/>
    <w:rsid w:val="50124E02"/>
    <w:rsid w:val="50F8214B"/>
    <w:rsid w:val="51597A9B"/>
    <w:rsid w:val="524472B4"/>
    <w:rsid w:val="529E60AD"/>
    <w:rsid w:val="530131F5"/>
    <w:rsid w:val="53530C46"/>
    <w:rsid w:val="53847836"/>
    <w:rsid w:val="5429409D"/>
    <w:rsid w:val="55AE2AAB"/>
    <w:rsid w:val="55D02A22"/>
    <w:rsid w:val="560818A9"/>
    <w:rsid w:val="560F6013"/>
    <w:rsid w:val="56310FE7"/>
    <w:rsid w:val="56B22645"/>
    <w:rsid w:val="56E04D5A"/>
    <w:rsid w:val="57D14C92"/>
    <w:rsid w:val="57E11A88"/>
    <w:rsid w:val="57E36CE2"/>
    <w:rsid w:val="58C83A98"/>
    <w:rsid w:val="592E180D"/>
    <w:rsid w:val="597277CB"/>
    <w:rsid w:val="5980475F"/>
    <w:rsid w:val="598B6C60"/>
    <w:rsid w:val="59FA2A9D"/>
    <w:rsid w:val="5A137240"/>
    <w:rsid w:val="5A932270"/>
    <w:rsid w:val="5AD00DCE"/>
    <w:rsid w:val="5B4377F2"/>
    <w:rsid w:val="5B7C71A8"/>
    <w:rsid w:val="5B977E05"/>
    <w:rsid w:val="5BF46D3E"/>
    <w:rsid w:val="5CD243B4"/>
    <w:rsid w:val="5CDE01CB"/>
    <w:rsid w:val="5DDE3802"/>
    <w:rsid w:val="5E6010B0"/>
    <w:rsid w:val="5EF93166"/>
    <w:rsid w:val="60553F5A"/>
    <w:rsid w:val="60DB227B"/>
    <w:rsid w:val="60DE7FEE"/>
    <w:rsid w:val="611A7682"/>
    <w:rsid w:val="62570E75"/>
    <w:rsid w:val="62947BE9"/>
    <w:rsid w:val="636E2764"/>
    <w:rsid w:val="63DB22D1"/>
    <w:rsid w:val="64803935"/>
    <w:rsid w:val="64FC5595"/>
    <w:rsid w:val="650F4BE9"/>
    <w:rsid w:val="65D56B68"/>
    <w:rsid w:val="662446C4"/>
    <w:rsid w:val="66252916"/>
    <w:rsid w:val="670C5884"/>
    <w:rsid w:val="677F5CDA"/>
    <w:rsid w:val="686F19B6"/>
    <w:rsid w:val="68866F70"/>
    <w:rsid w:val="69605A13"/>
    <w:rsid w:val="6A2353BE"/>
    <w:rsid w:val="6ACD1C5E"/>
    <w:rsid w:val="6AD01655"/>
    <w:rsid w:val="6AE37DC3"/>
    <w:rsid w:val="6B851761"/>
    <w:rsid w:val="6BEB684B"/>
    <w:rsid w:val="6C0B7A63"/>
    <w:rsid w:val="6C1C0317"/>
    <w:rsid w:val="6CEA161F"/>
    <w:rsid w:val="6E69554C"/>
    <w:rsid w:val="6E922B12"/>
    <w:rsid w:val="6EB56190"/>
    <w:rsid w:val="70D072FE"/>
    <w:rsid w:val="71495E20"/>
    <w:rsid w:val="71BB5EDC"/>
    <w:rsid w:val="72277A55"/>
    <w:rsid w:val="724539F8"/>
    <w:rsid w:val="725F2ACE"/>
    <w:rsid w:val="72901E96"/>
    <w:rsid w:val="731D4368"/>
    <w:rsid w:val="73341DAC"/>
    <w:rsid w:val="73597AC4"/>
    <w:rsid w:val="73F05BE5"/>
    <w:rsid w:val="74A569D0"/>
    <w:rsid w:val="74DD03A6"/>
    <w:rsid w:val="75B025BC"/>
    <w:rsid w:val="763613AA"/>
    <w:rsid w:val="77FA7033"/>
    <w:rsid w:val="7820118F"/>
    <w:rsid w:val="786F17CF"/>
    <w:rsid w:val="78A37C84"/>
    <w:rsid w:val="78A936A3"/>
    <w:rsid w:val="79134850"/>
    <w:rsid w:val="79534C4C"/>
    <w:rsid w:val="796706F8"/>
    <w:rsid w:val="7B42766E"/>
    <w:rsid w:val="7B6475E5"/>
    <w:rsid w:val="7C5C4760"/>
    <w:rsid w:val="7D6A6E28"/>
    <w:rsid w:val="7E5A082B"/>
    <w:rsid w:val="7EE36A72"/>
    <w:rsid w:val="7EF70770"/>
    <w:rsid w:val="7F584592"/>
    <w:rsid w:val="7FAE75AA"/>
    <w:rsid w:val="7FDF723A"/>
    <w:rsid w:val="7FE500A1"/>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7"/>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link w:val="84"/>
    <w:autoRedefine/>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6">
    <w:name w:val="heading 3"/>
    <w:basedOn w:val="1"/>
    <w:next w:val="1"/>
    <w:link w:val="90"/>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8"/>
    <w:link w:val="65"/>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8"/>
    <w:link w:val="150"/>
    <w:autoRedefine/>
    <w:qFormat/>
    <w:uiPriority w:val="0"/>
    <w:pPr>
      <w:keepNext/>
      <w:keepLines/>
      <w:spacing w:before="280" w:after="290" w:line="376" w:lineRule="auto"/>
      <w:outlineLvl w:val="4"/>
    </w:pPr>
    <w:rPr>
      <w:b/>
      <w:sz w:val="28"/>
      <w:szCs w:val="20"/>
    </w:rPr>
  </w:style>
  <w:style w:type="paragraph" w:styleId="10">
    <w:name w:val="heading 6"/>
    <w:basedOn w:val="1"/>
    <w:next w:val="8"/>
    <w:link w:val="115"/>
    <w:autoRedefine/>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8"/>
    <w:link w:val="143"/>
    <w:autoRedefine/>
    <w:qFormat/>
    <w:uiPriority w:val="0"/>
    <w:pPr>
      <w:keepNext/>
      <w:keepLines/>
      <w:spacing w:before="240" w:after="64" w:line="320" w:lineRule="auto"/>
      <w:outlineLvl w:val="6"/>
    </w:pPr>
    <w:rPr>
      <w:b/>
      <w:bCs/>
      <w:sz w:val="24"/>
    </w:rPr>
  </w:style>
  <w:style w:type="paragraph" w:styleId="12">
    <w:name w:val="heading 8"/>
    <w:basedOn w:val="1"/>
    <w:next w:val="8"/>
    <w:link w:val="123"/>
    <w:autoRedefine/>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8"/>
    <w:link w:val="97"/>
    <w:autoRedefine/>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autoRedefine/>
    <w:qFormat/>
    <w:uiPriority w:val="0"/>
    <w:pPr>
      <w:numPr>
        <w:ilvl w:val="0"/>
        <w:numId w:val="2"/>
      </w:numPr>
      <w:tabs>
        <w:tab w:val="clear" w:pos="360"/>
      </w:tabs>
      <w:ind w:left="0" w:firstLine="0"/>
      <w:jc w:val="left"/>
    </w:pPr>
    <w:rPr>
      <w:rFonts w:ascii="Arial" w:hAnsi="Arial" w:eastAsia="FangSong_GB2312" w:cs="Arial"/>
      <w:sz w:val="18"/>
      <w:szCs w:val="18"/>
    </w:rPr>
  </w:style>
  <w:style w:type="paragraph" w:styleId="3">
    <w:name w:val="Body Text"/>
    <w:basedOn w:val="1"/>
    <w:link w:val="96"/>
    <w:autoRedefine/>
    <w:qFormat/>
    <w:uiPriority w:val="0"/>
    <w:pPr>
      <w:spacing w:after="120"/>
    </w:pPr>
  </w:style>
  <w:style w:type="paragraph" w:styleId="8">
    <w:name w:val="Normal Indent"/>
    <w:basedOn w:val="1"/>
    <w:link w:val="126"/>
    <w:autoRedefine/>
    <w:qFormat/>
    <w:uiPriority w:val="99"/>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autoRedefine/>
    <w:qFormat/>
    <w:uiPriority w:val="0"/>
    <w:pPr>
      <w:ind w:left="1200" w:leftChars="1200"/>
    </w:pPr>
    <w:rPr>
      <w:rFonts w:ascii="Calibri" w:hAnsi="Calibri"/>
      <w:szCs w:val="22"/>
    </w:rPr>
  </w:style>
  <w:style w:type="paragraph" w:styleId="15">
    <w:name w:val="caption"/>
    <w:basedOn w:val="1"/>
    <w:next w:val="1"/>
    <w:link w:val="122"/>
    <w:autoRedefine/>
    <w:qFormat/>
    <w:uiPriority w:val="0"/>
    <w:pPr>
      <w:spacing w:line="360" w:lineRule="auto"/>
    </w:pPr>
    <w:rPr>
      <w:rFonts w:ascii="Arial" w:hAnsi="Arial" w:eastAsia="黑体"/>
      <w:sz w:val="20"/>
      <w:szCs w:val="20"/>
    </w:rPr>
  </w:style>
  <w:style w:type="paragraph" w:styleId="16">
    <w:name w:val="List Bullet"/>
    <w:basedOn w:val="1"/>
    <w:autoRedefine/>
    <w:qFormat/>
    <w:uiPriority w:val="0"/>
    <w:pPr>
      <w:tabs>
        <w:tab w:val="left" w:pos="360"/>
        <w:tab w:val="left" w:pos="1320"/>
      </w:tabs>
      <w:spacing w:line="360" w:lineRule="auto"/>
      <w:ind w:left="1320" w:hanging="420"/>
    </w:pPr>
    <w:rPr>
      <w:sz w:val="24"/>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szCs w:val="20"/>
    </w:rPr>
  </w:style>
  <w:style w:type="paragraph" w:styleId="19">
    <w:name w:val="annotation text"/>
    <w:basedOn w:val="1"/>
    <w:link w:val="72"/>
    <w:autoRedefine/>
    <w:qFormat/>
    <w:uiPriority w:val="0"/>
    <w:pPr>
      <w:spacing w:line="360" w:lineRule="auto"/>
      <w:jc w:val="left"/>
    </w:pPr>
    <w:rPr>
      <w:szCs w:val="20"/>
    </w:rPr>
  </w:style>
  <w:style w:type="paragraph" w:styleId="20">
    <w:name w:val="Body Text 3"/>
    <w:basedOn w:val="1"/>
    <w:link w:val="80"/>
    <w:autoRedefine/>
    <w:qFormat/>
    <w:uiPriority w:val="0"/>
    <w:pPr>
      <w:spacing w:after="120"/>
    </w:pPr>
    <w:rPr>
      <w:sz w:val="16"/>
      <w:szCs w:val="16"/>
    </w:rPr>
  </w:style>
  <w:style w:type="paragraph" w:styleId="21">
    <w:name w:val="Body Text Indent"/>
    <w:basedOn w:val="1"/>
    <w:link w:val="132"/>
    <w:autoRedefine/>
    <w:qFormat/>
    <w:uiPriority w:val="0"/>
    <w:pPr>
      <w:autoSpaceDE w:val="0"/>
      <w:autoSpaceDN w:val="0"/>
      <w:adjustRightInd w:val="0"/>
      <w:spacing w:line="480" w:lineRule="exact"/>
      <w:ind w:left="850" w:hanging="249"/>
      <w:textAlignment w:val="baseline"/>
    </w:pPr>
    <w:rPr>
      <w:rFonts w:ascii="FangSong_GB2312" w:eastAsia="FangSong_GB2312"/>
      <w:kern w:val="0"/>
      <w:sz w:val="28"/>
      <w:szCs w:val="20"/>
    </w:rPr>
  </w:style>
  <w:style w:type="paragraph" w:styleId="22">
    <w:name w:val="List Bullet 2"/>
    <w:basedOn w:val="1"/>
    <w:autoRedefine/>
    <w:qFormat/>
    <w:uiPriority w:val="0"/>
    <w:pPr>
      <w:numPr>
        <w:ilvl w:val="0"/>
        <w:numId w:val="3"/>
      </w:numPr>
    </w:pPr>
  </w:style>
  <w:style w:type="paragraph" w:styleId="23">
    <w:name w:val="HTML Address"/>
    <w:basedOn w:val="1"/>
    <w:link w:val="117"/>
    <w:autoRedefine/>
    <w:qFormat/>
    <w:uiPriority w:val="0"/>
    <w:pPr>
      <w:numPr>
        <w:ilvl w:val="0"/>
        <w:numId w:val="4"/>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autoRedefine/>
    <w:qFormat/>
    <w:uiPriority w:val="99"/>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index 3"/>
    <w:basedOn w:val="1"/>
    <w:next w:val="1"/>
    <w:autoRedefine/>
    <w:qFormat/>
    <w:uiPriority w:val="0"/>
    <w:pPr>
      <w:ind w:left="400" w:leftChars="400"/>
    </w:pPr>
  </w:style>
  <w:style w:type="paragraph" w:styleId="29">
    <w:name w:val="Date"/>
    <w:basedOn w:val="1"/>
    <w:next w:val="1"/>
    <w:link w:val="74"/>
    <w:autoRedefine/>
    <w:qFormat/>
    <w:uiPriority w:val="0"/>
    <w:pPr>
      <w:numPr>
        <w:ilvl w:val="0"/>
        <w:numId w:val="5"/>
      </w:numPr>
      <w:ind w:left="100" w:leftChars="2500"/>
    </w:pPr>
  </w:style>
  <w:style w:type="paragraph" w:styleId="30">
    <w:name w:val="Body Text Indent 2"/>
    <w:basedOn w:val="1"/>
    <w:link w:val="124"/>
    <w:autoRedefine/>
    <w:qFormat/>
    <w:uiPriority w:val="0"/>
    <w:pPr>
      <w:spacing w:line="480" w:lineRule="exact"/>
      <w:ind w:left="810" w:firstLine="675"/>
    </w:pPr>
    <w:rPr>
      <w:rFonts w:eastAsia="FangSong_GB2312"/>
      <w:kern w:val="0"/>
      <w:sz w:val="30"/>
      <w:szCs w:val="20"/>
    </w:rPr>
  </w:style>
  <w:style w:type="paragraph" w:styleId="31">
    <w:name w:val="Balloon Text"/>
    <w:basedOn w:val="1"/>
    <w:link w:val="153"/>
    <w:autoRedefine/>
    <w:qFormat/>
    <w:uiPriority w:val="0"/>
    <w:rPr>
      <w:sz w:val="18"/>
      <w:szCs w:val="18"/>
    </w:rPr>
  </w:style>
  <w:style w:type="paragraph" w:styleId="32">
    <w:name w:val="footer"/>
    <w:basedOn w:val="1"/>
    <w:link w:val="86"/>
    <w:autoRedefine/>
    <w:qFormat/>
    <w:uiPriority w:val="0"/>
    <w:pPr>
      <w:tabs>
        <w:tab w:val="center" w:pos="4153"/>
        <w:tab w:val="right" w:pos="8306"/>
      </w:tabs>
      <w:snapToGrid w:val="0"/>
      <w:jc w:val="left"/>
    </w:pPr>
    <w:rPr>
      <w:kern w:val="0"/>
      <w:sz w:val="18"/>
      <w:szCs w:val="18"/>
    </w:rPr>
  </w:style>
  <w:style w:type="paragraph" w:styleId="33">
    <w:name w:val="header"/>
    <w:basedOn w:val="1"/>
    <w:link w:val="136"/>
    <w:autoRedefine/>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autoRedefine/>
    <w:qFormat/>
    <w:uiPriority w:val="39"/>
    <w:pPr>
      <w:tabs>
        <w:tab w:val="right" w:leader="dot" w:pos="8949"/>
      </w:tabs>
      <w:spacing w:before="120" w:after="120"/>
      <w:jc w:val="left"/>
    </w:pPr>
    <w:rPr>
      <w:b/>
      <w:bCs/>
      <w:caps/>
      <w:szCs w:val="21"/>
    </w:rPr>
  </w:style>
  <w:style w:type="paragraph" w:styleId="35">
    <w:name w:val="toc 4"/>
    <w:basedOn w:val="1"/>
    <w:next w:val="1"/>
    <w:autoRedefine/>
    <w:qFormat/>
    <w:uiPriority w:val="0"/>
    <w:pPr>
      <w:ind w:left="600" w:leftChars="600"/>
    </w:pPr>
    <w:rPr>
      <w:rFonts w:ascii="Calibri" w:hAnsi="Calibri"/>
      <w:szCs w:val="22"/>
    </w:rPr>
  </w:style>
  <w:style w:type="paragraph" w:styleId="36">
    <w:name w:val="index heading"/>
    <w:basedOn w:val="1"/>
    <w:next w:val="37"/>
    <w:autoRedefine/>
    <w:qFormat/>
    <w:uiPriority w:val="99"/>
    <w:rPr>
      <w:szCs w:val="20"/>
    </w:rPr>
  </w:style>
  <w:style w:type="paragraph" w:styleId="37">
    <w:name w:val="index 1"/>
    <w:basedOn w:val="1"/>
    <w:next w:val="1"/>
    <w:autoRedefine/>
    <w:qFormat/>
    <w:uiPriority w:val="0"/>
  </w:style>
  <w:style w:type="paragraph" w:styleId="38">
    <w:name w:val="Subtitle"/>
    <w:basedOn w:val="1"/>
    <w:next w:val="1"/>
    <w:link w:val="127"/>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autoRedefine/>
    <w:qFormat/>
    <w:uiPriority w:val="0"/>
    <w:pPr>
      <w:ind w:left="200" w:hanging="200" w:hangingChars="200"/>
    </w:pPr>
  </w:style>
  <w:style w:type="paragraph" w:styleId="40">
    <w:name w:val="toc 6"/>
    <w:basedOn w:val="1"/>
    <w:next w:val="1"/>
    <w:autoRedefine/>
    <w:qFormat/>
    <w:uiPriority w:val="0"/>
    <w:pPr>
      <w:ind w:left="1000" w:leftChars="1000"/>
    </w:pPr>
    <w:rPr>
      <w:rFonts w:ascii="Calibri" w:hAnsi="Calibri"/>
      <w:szCs w:val="22"/>
    </w:rPr>
  </w:style>
  <w:style w:type="paragraph" w:styleId="41">
    <w:name w:val="Body Text Indent 3"/>
    <w:basedOn w:val="1"/>
    <w:link w:val="87"/>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autoRedefine/>
    <w:qFormat/>
    <w:uiPriority w:val="0"/>
    <w:pPr>
      <w:ind w:left="1600" w:leftChars="1600"/>
    </w:pPr>
    <w:rPr>
      <w:rFonts w:ascii="Calibri" w:hAnsi="Calibri"/>
      <w:szCs w:val="22"/>
    </w:rPr>
  </w:style>
  <w:style w:type="paragraph" w:styleId="44">
    <w:name w:val="Body Text 2"/>
    <w:basedOn w:val="1"/>
    <w:link w:val="99"/>
    <w:autoRedefine/>
    <w:qFormat/>
    <w:uiPriority w:val="0"/>
    <w:pPr>
      <w:spacing w:line="360" w:lineRule="auto"/>
    </w:pPr>
    <w:rPr>
      <w:rFonts w:ascii="FangSong_GB2312" w:eastAsia="FangSong_GB2312"/>
      <w:sz w:val="32"/>
    </w:rPr>
  </w:style>
  <w:style w:type="paragraph" w:styleId="45">
    <w:name w:val="HTML Preformatted"/>
    <w:basedOn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autoRedefine/>
    <w:qFormat/>
    <w:uiPriority w:val="0"/>
    <w:pPr>
      <w:ind w:left="420" w:hanging="210"/>
      <w:jc w:val="left"/>
    </w:pPr>
    <w:rPr>
      <w:sz w:val="20"/>
      <w:szCs w:val="20"/>
    </w:rPr>
  </w:style>
  <w:style w:type="paragraph" w:styleId="48">
    <w:name w:val="Title"/>
    <w:basedOn w:val="1"/>
    <w:next w:val="1"/>
    <w:link w:val="92"/>
    <w:autoRedefine/>
    <w:qFormat/>
    <w:uiPriority w:val="0"/>
    <w:pPr>
      <w:spacing w:before="240" w:after="60"/>
      <w:jc w:val="center"/>
      <w:outlineLvl w:val="0"/>
    </w:pPr>
    <w:rPr>
      <w:rFonts w:ascii="Cambria" w:hAnsi="Cambria"/>
      <w:b/>
      <w:bCs/>
      <w:sz w:val="32"/>
      <w:szCs w:val="32"/>
    </w:rPr>
  </w:style>
  <w:style w:type="paragraph" w:styleId="49">
    <w:name w:val="annotation subject"/>
    <w:basedOn w:val="19"/>
    <w:next w:val="19"/>
    <w:link w:val="129"/>
    <w:autoRedefine/>
    <w:qFormat/>
    <w:uiPriority w:val="0"/>
    <w:pPr>
      <w:spacing w:line="240" w:lineRule="auto"/>
    </w:pPr>
    <w:rPr>
      <w:b/>
      <w:bCs/>
      <w:szCs w:val="24"/>
    </w:rPr>
  </w:style>
  <w:style w:type="paragraph" w:styleId="50">
    <w:name w:val="Body Text First Indent"/>
    <w:basedOn w:val="3"/>
    <w:link w:val="160"/>
    <w:autoRedefine/>
    <w:qFormat/>
    <w:uiPriority w:val="0"/>
    <w:pPr>
      <w:ind w:firstLine="100" w:firstLineChars="100"/>
    </w:pPr>
    <w:rPr>
      <w:rFonts w:ascii="Calibri" w:hAnsi="Calibri"/>
      <w:szCs w:val="22"/>
    </w:rPr>
  </w:style>
  <w:style w:type="paragraph" w:styleId="51">
    <w:name w:val="Body Text First Indent 2"/>
    <w:basedOn w:val="21"/>
    <w:link w:val="67"/>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autoRedefine/>
    <w:qFormat/>
    <w:uiPriority w:val="0"/>
    <w:rPr>
      <w:b/>
      <w:bCs/>
    </w:rPr>
  </w:style>
  <w:style w:type="character" w:styleId="56">
    <w:name w:val="page number"/>
    <w:basedOn w:val="54"/>
    <w:autoRedefine/>
    <w:qFormat/>
    <w:uiPriority w:val="0"/>
  </w:style>
  <w:style w:type="character" w:styleId="57">
    <w:name w:val="FollowedHyperlink"/>
    <w:qFormat/>
    <w:uiPriority w:val="0"/>
    <w:rPr>
      <w:color w:val="800080"/>
      <w:u w:val="single"/>
    </w:rPr>
  </w:style>
  <w:style w:type="character" w:styleId="58">
    <w:name w:val="Emphasis"/>
    <w:autoRedefine/>
    <w:qFormat/>
    <w:uiPriority w:val="0"/>
    <w:rPr>
      <w:i/>
      <w:iCs/>
    </w:rPr>
  </w:style>
  <w:style w:type="character" w:styleId="59">
    <w:name w:val="Hyperlink"/>
    <w:autoRedefine/>
    <w:qFormat/>
    <w:uiPriority w:val="99"/>
    <w:rPr>
      <w:color w:val="0000FF"/>
      <w:u w:val="single"/>
    </w:rPr>
  </w:style>
  <w:style w:type="character" w:styleId="60">
    <w:name w:val="annotation reference"/>
    <w:qFormat/>
    <w:uiPriority w:val="0"/>
    <w:rPr>
      <w:sz w:val="21"/>
      <w:szCs w:val="21"/>
    </w:rPr>
  </w:style>
  <w:style w:type="paragraph" w:customStyle="1" w:styleId="61">
    <w:name w:val="UserStyle_0"/>
    <w:basedOn w:val="1"/>
    <w:autoRedefine/>
    <w:qFormat/>
    <w:uiPriority w:val="0"/>
    <w:pPr>
      <w:ind w:firstLine="420" w:firstLineChars="200"/>
      <w:textAlignment w:val="baseline"/>
    </w:pPr>
    <w:rPr>
      <w:sz w:val="20"/>
    </w:rPr>
  </w:style>
  <w:style w:type="character" w:customStyle="1" w:styleId="62">
    <w:name w:val="文档正文 Char1"/>
    <w:link w:val="63"/>
    <w:autoRedefine/>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autoRedefine/>
    <w:qFormat/>
    <w:uiPriority w:val="0"/>
    <w:rPr>
      <w:sz w:val="18"/>
      <w:szCs w:val="18"/>
      <w:u w:val="none"/>
    </w:rPr>
  </w:style>
  <w:style w:type="character" w:customStyle="1" w:styleId="65">
    <w:name w:val="标题 4 Char"/>
    <w:link w:val="7"/>
    <w:qFormat/>
    <w:uiPriority w:val="0"/>
    <w:rPr>
      <w:rFonts w:ascii="Arial" w:hAnsi="Arial" w:eastAsia="黑体"/>
      <w:b/>
      <w:bCs/>
      <w:kern w:val="2"/>
      <w:sz w:val="28"/>
      <w:szCs w:val="28"/>
      <w:lang w:val="en-US" w:eastAsia="zh-CN" w:bidi="ar-SA"/>
    </w:rPr>
  </w:style>
  <w:style w:type="character" w:customStyle="1" w:styleId="66">
    <w:name w:val="font21"/>
    <w:basedOn w:val="54"/>
    <w:qFormat/>
    <w:uiPriority w:val="0"/>
    <w:rPr>
      <w:rFonts w:hint="default" w:ascii="Arial" w:hAnsi="Arial" w:cs="Arial"/>
      <w:color w:val="000000"/>
      <w:sz w:val="24"/>
      <w:szCs w:val="24"/>
      <w:u w:val="none"/>
    </w:rPr>
  </w:style>
  <w:style w:type="character" w:customStyle="1" w:styleId="67">
    <w:name w:val="正文首行缩进 2 Char"/>
    <w:link w:val="51"/>
    <w:autoRedefine/>
    <w:qFormat/>
    <w:uiPriority w:val="0"/>
    <w:rPr>
      <w:rFonts w:ascii="Calibri" w:hAnsi="Calibri" w:eastAsia="FangSong_GB2312"/>
      <w:kern w:val="2"/>
      <w:sz w:val="21"/>
      <w:szCs w:val="22"/>
      <w:lang w:val="en-US" w:eastAsia="zh-CN" w:bidi="ar-SA"/>
    </w:rPr>
  </w:style>
  <w:style w:type="character" w:customStyle="1" w:styleId="68">
    <w:name w:val="类目1 Char Char"/>
    <w:link w:val="69"/>
    <w:autoRedefine/>
    <w:qFormat/>
    <w:uiPriority w:val="0"/>
    <w:rPr>
      <w:b/>
      <w:color w:val="17365D"/>
      <w:kern w:val="2"/>
      <w:sz w:val="28"/>
      <w:szCs w:val="28"/>
      <w:lang w:bidi="ar-SA"/>
    </w:rPr>
  </w:style>
  <w:style w:type="paragraph" w:customStyle="1" w:styleId="69">
    <w:name w:val="类目1"/>
    <w:basedOn w:val="1"/>
    <w:link w:val="68"/>
    <w:autoRedefine/>
    <w:qFormat/>
    <w:uiPriority w:val="0"/>
    <w:pPr>
      <w:adjustRightInd w:val="0"/>
      <w:snapToGrid w:val="0"/>
      <w:spacing w:line="220" w:lineRule="atLeast"/>
    </w:pPr>
    <w:rPr>
      <w:b/>
      <w:color w:val="17365D"/>
      <w:sz w:val="28"/>
      <w:szCs w:val="28"/>
    </w:rPr>
  </w:style>
  <w:style w:type="character" w:customStyle="1" w:styleId="70">
    <w:name w:val="text1"/>
    <w:autoRedefine/>
    <w:qFormat/>
    <w:uiPriority w:val="0"/>
    <w:rPr>
      <w:sz w:val="20"/>
      <w:szCs w:val="20"/>
    </w:rPr>
  </w:style>
  <w:style w:type="character" w:customStyle="1" w:styleId="71">
    <w:name w:val="ca-5"/>
    <w:basedOn w:val="54"/>
    <w:autoRedefine/>
    <w:qFormat/>
    <w:uiPriority w:val="0"/>
  </w:style>
  <w:style w:type="character" w:customStyle="1" w:styleId="72">
    <w:name w:val="批注文字 Char"/>
    <w:link w:val="19"/>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9"/>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4"/>
    <w:autoRedefine/>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20"/>
    <w:autoRedefine/>
    <w:qFormat/>
    <w:uiPriority w:val="0"/>
    <w:rPr>
      <w:kern w:val="2"/>
      <w:sz w:val="16"/>
      <w:szCs w:val="16"/>
    </w:rPr>
  </w:style>
  <w:style w:type="character" w:customStyle="1" w:styleId="81">
    <w:name w:val="标题 5 Char Char"/>
    <w:autoRedefine/>
    <w:qFormat/>
    <w:uiPriority w:val="0"/>
    <w:rPr>
      <w:rFonts w:eastAsia="宋体"/>
      <w:b/>
      <w:bCs/>
      <w:kern w:val="2"/>
      <w:sz w:val="28"/>
      <w:szCs w:val="28"/>
      <w:lang w:val="en-US" w:eastAsia="zh-CN" w:bidi="ar-SA"/>
    </w:rPr>
  </w:style>
  <w:style w:type="character" w:customStyle="1" w:styleId="82">
    <w:name w:val="ca-10"/>
    <w:basedOn w:val="54"/>
    <w:autoRedefine/>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5"/>
    <w:autoRedefine/>
    <w:qFormat/>
    <w:uiPriority w:val="0"/>
    <w:rPr>
      <w:rFonts w:ascii="Cambria" w:hAnsi="Cambria"/>
      <w:b/>
      <w:bCs/>
      <w:kern w:val="2"/>
      <w:sz w:val="32"/>
      <w:szCs w:val="32"/>
    </w:rPr>
  </w:style>
  <w:style w:type="character" w:customStyle="1" w:styleId="85">
    <w:name w:val="mark8"/>
    <w:autoRedefine/>
    <w:qFormat/>
    <w:uiPriority w:val="0"/>
    <w:rPr>
      <w:b/>
      <w:bCs/>
      <w:sz w:val="21"/>
      <w:szCs w:val="21"/>
    </w:rPr>
  </w:style>
  <w:style w:type="character" w:customStyle="1" w:styleId="86">
    <w:name w:val="页脚 Char"/>
    <w:link w:val="32"/>
    <w:autoRedefine/>
    <w:qFormat/>
    <w:uiPriority w:val="0"/>
    <w:rPr>
      <w:rFonts w:eastAsia="宋体"/>
      <w:sz w:val="18"/>
      <w:szCs w:val="18"/>
      <w:lang w:bidi="ar-SA"/>
    </w:rPr>
  </w:style>
  <w:style w:type="character" w:customStyle="1" w:styleId="87">
    <w:name w:val="正文文本缩进 3 Char"/>
    <w:link w:val="41"/>
    <w:autoRedefine/>
    <w:qFormat/>
    <w:uiPriority w:val="0"/>
    <w:rPr>
      <w:rFonts w:ascii="宋体" w:hAnsi="宋体" w:eastAsia="宋体"/>
      <w:kern w:val="2"/>
      <w:sz w:val="21"/>
      <w:szCs w:val="24"/>
      <w:lang w:val="en-US" w:eastAsia="zh-CN" w:bidi="ar-SA"/>
    </w:rPr>
  </w:style>
  <w:style w:type="character" w:customStyle="1" w:styleId="88">
    <w:name w:val="List Paragraph Char Char"/>
    <w:link w:val="89"/>
    <w:autoRedefine/>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6"/>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8"/>
    <w:qFormat/>
    <w:uiPriority w:val="0"/>
    <w:rPr>
      <w:rFonts w:ascii="Cambria" w:hAnsi="Cambria"/>
      <w:b/>
      <w:bCs/>
      <w:kern w:val="2"/>
      <w:sz w:val="32"/>
      <w:szCs w:val="32"/>
    </w:rPr>
  </w:style>
  <w:style w:type="character" w:customStyle="1" w:styleId="93">
    <w:name w:val="纯文本 Char"/>
    <w:link w:val="26"/>
    <w:autoRedefine/>
    <w:qFormat/>
    <w:uiPriority w:val="99"/>
    <w:rPr>
      <w:rFonts w:ascii="宋体" w:hAnsi="Courier New"/>
      <w:kern w:val="2"/>
      <w:sz w:val="21"/>
      <w:lang w:bidi="ar-SA"/>
    </w:rPr>
  </w:style>
  <w:style w:type="character" w:customStyle="1" w:styleId="94">
    <w:name w:val="flname7"/>
    <w:basedOn w:val="54"/>
    <w:qFormat/>
    <w:uiPriority w:val="0"/>
  </w:style>
  <w:style w:type="character" w:customStyle="1" w:styleId="95">
    <w:name w:val="content"/>
    <w:autoRedefine/>
    <w:qFormat/>
    <w:uiPriority w:val="0"/>
  </w:style>
  <w:style w:type="character" w:customStyle="1" w:styleId="96">
    <w:name w:val="正文文本 Char"/>
    <w:link w:val="3"/>
    <w:qFormat/>
    <w:uiPriority w:val="0"/>
    <w:rPr>
      <w:rFonts w:eastAsia="宋体"/>
      <w:kern w:val="2"/>
      <w:sz w:val="21"/>
      <w:szCs w:val="24"/>
      <w:lang w:val="en-US" w:eastAsia="zh-CN" w:bidi="ar-SA"/>
    </w:rPr>
  </w:style>
  <w:style w:type="character" w:customStyle="1" w:styleId="97">
    <w:name w:val="标题 9 Char"/>
    <w:link w:val="13"/>
    <w:qFormat/>
    <w:uiPriority w:val="0"/>
    <w:rPr>
      <w:rFonts w:ascii="Arial" w:hAnsi="Arial" w:eastAsia="黑体"/>
      <w:kern w:val="2"/>
      <w:sz w:val="21"/>
      <w:szCs w:val="21"/>
      <w:lang w:val="en-US" w:eastAsia="zh-CN" w:bidi="ar-SA"/>
    </w:rPr>
  </w:style>
  <w:style w:type="character" w:customStyle="1" w:styleId="98">
    <w:name w:val="c_666"/>
    <w:basedOn w:val="54"/>
    <w:qFormat/>
    <w:uiPriority w:val="0"/>
  </w:style>
  <w:style w:type="character" w:customStyle="1" w:styleId="99">
    <w:name w:val="正文文本 2 Char"/>
    <w:link w:val="44"/>
    <w:autoRedefine/>
    <w:qFormat/>
    <w:uiPriority w:val="0"/>
    <w:rPr>
      <w:rFonts w:ascii="FangSong_GB2312" w:eastAsia="FangSong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Pr>
      <w:tabs>
        <w:tab w:val="left" w:pos="840"/>
      </w:tabs>
      <w:outlineLvl w:val="2"/>
    </w:pPr>
    <w:rPr>
      <w:rFonts w:cs="Times New Roman"/>
      <w:sz w:val="28"/>
      <w:szCs w:val="28"/>
    </w:rPr>
  </w:style>
  <w:style w:type="paragraph" w:customStyle="1" w:styleId="102">
    <w:name w:val="书籍标题2"/>
    <w:basedOn w:val="1"/>
    <w:autoRedefine/>
    <w:qFormat/>
    <w:uiPriority w:val="0"/>
    <w:pPr>
      <w:numPr>
        <w:ilvl w:val="1"/>
        <w:numId w:val="6"/>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34"/>
    <w:pPr>
      <w:ind w:firstLine="420" w:firstLineChars="200"/>
    </w:pPr>
  </w:style>
  <w:style w:type="character" w:customStyle="1" w:styleId="106">
    <w:name w:val="标题 3 Char1"/>
    <w:autoRedefine/>
    <w:qFormat/>
    <w:uiPriority w:val="0"/>
    <w:rPr>
      <w:rFonts w:ascii="宋体" w:hAnsi="Times New Roman"/>
    </w:rPr>
  </w:style>
  <w:style w:type="character" w:customStyle="1" w:styleId="107">
    <w:name w:val="样式 样式 宋体 小四 行距: 1.5 倍行距 + ˎ̥ 黑色 Char Char"/>
    <w:link w:val="108"/>
    <w:autoRedefine/>
    <w:qFormat/>
    <w:uiPriority w:val="0"/>
    <w:rPr>
      <w:rFonts w:ascii="Calibri" w:hAnsi="Calibri" w:eastAsia="FangSong_GB2312"/>
      <w:kern w:val="2"/>
      <w:sz w:val="21"/>
      <w:szCs w:val="22"/>
      <w:lang w:val="en-US" w:eastAsia="zh-CN" w:bidi="ar-SA"/>
    </w:rPr>
  </w:style>
  <w:style w:type="paragraph" w:customStyle="1" w:styleId="108">
    <w:name w:val="样式 样式 宋体 小四 行距: 1.5 倍行距 + ˎ̥ 黑色"/>
    <w:basedOn w:val="51"/>
    <w:link w:val="107"/>
    <w:autoRedefine/>
    <w:qFormat/>
    <w:uiPriority w:val="0"/>
  </w:style>
  <w:style w:type="character" w:customStyle="1" w:styleId="109">
    <w:name w:val="样式5 Char Char"/>
    <w:link w:val="110"/>
    <w:autoRedefine/>
    <w:qFormat/>
    <w:uiPriority w:val="0"/>
    <w:rPr>
      <w:rFonts w:ascii="宋体" w:hAnsi="宋体" w:eastAsia="宋体" w:cs="Arial"/>
      <w:b/>
      <w:kern w:val="2"/>
      <w:sz w:val="24"/>
      <w:szCs w:val="24"/>
      <w:lang w:val="en-US" w:eastAsia="zh-CN" w:bidi="ar-SA"/>
    </w:rPr>
  </w:style>
  <w:style w:type="paragraph" w:customStyle="1" w:styleId="110">
    <w:name w:val="样式5"/>
    <w:basedOn w:val="1"/>
    <w:link w:val="109"/>
    <w:autoRedefine/>
    <w:qFormat/>
    <w:uiPriority w:val="0"/>
    <w:pPr>
      <w:spacing w:line="400" w:lineRule="exact"/>
      <w:ind w:left="482"/>
    </w:pPr>
    <w:rPr>
      <w:rFonts w:ascii="宋体" w:hAnsi="宋体" w:cs="Arial"/>
      <w:b/>
      <w:sz w:val="24"/>
    </w:rPr>
  </w:style>
  <w:style w:type="character" w:customStyle="1" w:styleId="111">
    <w:name w:val="标题 1 Char1"/>
    <w:autoRedefine/>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autoRedefine/>
    <w:qFormat/>
    <w:uiPriority w:val="0"/>
    <w:rPr>
      <w:smallCaps/>
      <w:color w:val="C0504D"/>
      <w:u w:val="single"/>
    </w:rPr>
  </w:style>
  <w:style w:type="character" w:customStyle="1" w:styleId="115">
    <w:name w:val="标题 6 Char"/>
    <w:link w:val="10"/>
    <w:autoRedefine/>
    <w:qFormat/>
    <w:uiPriority w:val="0"/>
    <w:rPr>
      <w:rFonts w:ascii="Arial" w:hAnsi="Arial" w:eastAsia="黑体"/>
      <w:b/>
      <w:bCs/>
      <w:kern w:val="2"/>
      <w:sz w:val="24"/>
      <w:szCs w:val="24"/>
      <w:lang w:val="en-US" w:eastAsia="zh-CN" w:bidi="ar-SA"/>
    </w:rPr>
  </w:style>
  <w:style w:type="character" w:customStyle="1" w:styleId="116">
    <w:name w:val="style71"/>
    <w:autoRedefine/>
    <w:qFormat/>
    <w:uiPriority w:val="0"/>
    <w:rPr>
      <w:sz w:val="21"/>
      <w:szCs w:val="21"/>
    </w:rPr>
  </w:style>
  <w:style w:type="character" w:customStyle="1" w:styleId="117">
    <w:name w:val="HTML 地址 Char"/>
    <w:link w:val="23"/>
    <w:autoRedefine/>
    <w:qFormat/>
    <w:uiPriority w:val="0"/>
    <w:rPr>
      <w:i/>
      <w:kern w:val="2"/>
      <w:sz w:val="21"/>
      <w:szCs w:val="24"/>
    </w:rPr>
  </w:style>
  <w:style w:type="character" w:customStyle="1" w:styleId="118">
    <w:name w:val="细目1 Char Char"/>
    <w:link w:val="119"/>
    <w:autoRedefine/>
    <w:qFormat/>
    <w:uiPriority w:val="0"/>
    <w:rPr>
      <w:b/>
      <w:color w:val="215868"/>
      <w:kern w:val="2"/>
      <w:sz w:val="24"/>
      <w:szCs w:val="24"/>
    </w:rPr>
  </w:style>
  <w:style w:type="paragraph" w:customStyle="1" w:styleId="119">
    <w:name w:val="细目1"/>
    <w:basedOn w:val="1"/>
    <w:link w:val="118"/>
    <w:autoRedefine/>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autoRedefine/>
    <w:qFormat/>
    <w:uiPriority w:val="0"/>
    <w:rPr>
      <w:rFonts w:ascii="宋体" w:hAnsi="宋体"/>
      <w:sz w:val="21"/>
      <w:szCs w:val="21"/>
    </w:rPr>
  </w:style>
  <w:style w:type="paragraph" w:customStyle="1" w:styleId="121">
    <w:name w:val="xl25"/>
    <w:basedOn w:val="1"/>
    <w:link w:val="12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5"/>
    <w:autoRedefine/>
    <w:qFormat/>
    <w:uiPriority w:val="0"/>
    <w:rPr>
      <w:rFonts w:ascii="Arial" w:hAnsi="Arial" w:eastAsia="黑体" w:cs="Arial"/>
      <w:kern w:val="2"/>
    </w:rPr>
  </w:style>
  <w:style w:type="character" w:customStyle="1" w:styleId="123">
    <w:name w:val="标题 8 Char"/>
    <w:link w:val="12"/>
    <w:autoRedefine/>
    <w:qFormat/>
    <w:uiPriority w:val="0"/>
    <w:rPr>
      <w:rFonts w:ascii="Arial" w:hAnsi="Arial" w:eastAsia="黑体"/>
      <w:kern w:val="2"/>
      <w:sz w:val="24"/>
      <w:szCs w:val="24"/>
      <w:lang w:val="en-US" w:eastAsia="zh-CN" w:bidi="ar-SA"/>
    </w:rPr>
  </w:style>
  <w:style w:type="character" w:customStyle="1" w:styleId="124">
    <w:name w:val="正文文本缩进 2 Char"/>
    <w:link w:val="30"/>
    <w:qFormat/>
    <w:uiPriority w:val="0"/>
    <w:rPr>
      <w:rFonts w:eastAsia="FangSong_GB2312"/>
      <w:sz w:val="30"/>
      <w:lang w:bidi="ar-SA"/>
    </w:rPr>
  </w:style>
  <w:style w:type="character" w:customStyle="1" w:styleId="125">
    <w:name w:val="ca-11"/>
    <w:basedOn w:val="54"/>
    <w:qFormat/>
    <w:uiPriority w:val="0"/>
  </w:style>
  <w:style w:type="character" w:customStyle="1" w:styleId="126">
    <w:name w:val="正文缩进 Char"/>
    <w:link w:val="8"/>
    <w:qFormat/>
    <w:uiPriority w:val="0"/>
    <w:rPr>
      <w:rFonts w:ascii="宋体" w:eastAsia="宋体"/>
      <w:sz w:val="34"/>
      <w:lang w:val="en-US" w:eastAsia="zh-CN" w:bidi="ar-SA"/>
    </w:rPr>
  </w:style>
  <w:style w:type="character" w:customStyle="1" w:styleId="127">
    <w:name w:val="副标题 Char"/>
    <w:link w:val="38"/>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9"/>
    <w:autoRedefine/>
    <w:qFormat/>
    <w:uiPriority w:val="0"/>
    <w:rPr>
      <w:b/>
      <w:bCs/>
      <w:kern w:val="2"/>
      <w:sz w:val="21"/>
      <w:szCs w:val="24"/>
    </w:rPr>
  </w:style>
  <w:style w:type="character" w:customStyle="1" w:styleId="130">
    <w:name w:val="p12"/>
    <w:basedOn w:val="54"/>
    <w:qFormat/>
    <w:uiPriority w:val="0"/>
  </w:style>
  <w:style w:type="character" w:customStyle="1" w:styleId="131">
    <w:name w:val="表格内容"/>
    <w:autoRedefine/>
    <w:qFormat/>
    <w:uiPriority w:val="0"/>
    <w:rPr>
      <w:sz w:val="24"/>
    </w:rPr>
  </w:style>
  <w:style w:type="character" w:customStyle="1" w:styleId="132">
    <w:name w:val="正文文本缩进 Char"/>
    <w:link w:val="21"/>
    <w:autoRedefine/>
    <w:qFormat/>
    <w:uiPriority w:val="0"/>
    <w:rPr>
      <w:rFonts w:ascii="FangSong_GB2312" w:eastAsia="FangSong_GB2312"/>
      <w:sz w:val="28"/>
      <w:lang w:val="en-US" w:eastAsia="zh-CN" w:bidi="ar-SA"/>
    </w:rPr>
  </w:style>
  <w:style w:type="character" w:customStyle="1" w:styleId="133">
    <w:name w:val="HTML 预设格式 Char"/>
    <w:link w:val="45"/>
    <w:autoRedefine/>
    <w:qFormat/>
    <w:uiPriority w:val="0"/>
    <w:rPr>
      <w:rFonts w:ascii="黑体" w:hAnsi="Courier New" w:eastAsia="黑体" w:cs="Courier New"/>
      <w:kern w:val="2"/>
      <w:sz w:val="21"/>
      <w:szCs w:val="24"/>
      <w:lang w:val="en-US" w:eastAsia="zh-CN" w:bidi="ar-SA"/>
    </w:rPr>
  </w:style>
  <w:style w:type="character" w:customStyle="1" w:styleId="134">
    <w:name w:val="纯文本 Char1"/>
    <w:autoRedefine/>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FangSong_GB2312"/>
      <w:kern w:val="2"/>
      <w:sz w:val="28"/>
      <w:szCs w:val="24"/>
      <w:lang w:bidi="ar-SA"/>
    </w:rPr>
  </w:style>
  <w:style w:type="character" w:customStyle="1" w:styleId="136">
    <w:name w:val="页眉 Char"/>
    <w:link w:val="33"/>
    <w:autoRedefine/>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autoRedefine/>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autoRedefine/>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11"/>
    <w:qFormat/>
    <w:uiPriority w:val="0"/>
    <w:rPr>
      <w:rFonts w:eastAsia="宋体"/>
      <w:b/>
      <w:bCs/>
      <w:kern w:val="2"/>
      <w:sz w:val="24"/>
      <w:szCs w:val="24"/>
      <w:lang w:val="en-US" w:eastAsia="zh-CN" w:bidi="ar-SA"/>
    </w:rPr>
  </w:style>
  <w:style w:type="character" w:customStyle="1" w:styleId="144">
    <w:name w:val="题注 Char1"/>
    <w:autoRedefine/>
    <w:qFormat/>
    <w:uiPriority w:val="0"/>
    <w:rPr>
      <w:rFonts w:ascii="Arial" w:hAnsi="Arial" w:eastAsia="宋体" w:cs="Arial"/>
      <w:kern w:val="2"/>
      <w:lang w:val="en-US" w:eastAsia="zh-CN" w:bidi="ar-SA"/>
    </w:rPr>
  </w:style>
  <w:style w:type="character" w:customStyle="1" w:styleId="145">
    <w:name w:val="正文缩进 Char2"/>
    <w:link w:val="146"/>
    <w:autoRedefine/>
    <w:qFormat/>
    <w:uiPriority w:val="0"/>
    <w:rPr>
      <w:rFonts w:ascii="宋体" w:eastAsia="宋体"/>
      <w:sz w:val="34"/>
      <w:lang w:bidi="ar-SA"/>
    </w:rPr>
  </w:style>
  <w:style w:type="paragraph" w:customStyle="1" w:styleId="146">
    <w:name w:val="Normal Indent1"/>
    <w:basedOn w:val="1"/>
    <w:link w:val="145"/>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8"/>
    <w:link w:val="147"/>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9"/>
    <w:qFormat/>
    <w:uiPriority w:val="0"/>
    <w:rPr>
      <w:rFonts w:eastAsia="宋体"/>
      <w:b/>
      <w:kern w:val="2"/>
      <w:sz w:val="28"/>
      <w:lang w:val="en-US" w:eastAsia="zh-CN" w:bidi="ar-SA"/>
    </w:rPr>
  </w:style>
  <w:style w:type="character" w:customStyle="1" w:styleId="151">
    <w:name w:val="Char Char5"/>
    <w:autoRedefine/>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1"/>
    <w:autoRedefine/>
    <w:qFormat/>
    <w:uiPriority w:val="0"/>
    <w:rPr>
      <w:rFonts w:eastAsia="宋体"/>
      <w:kern w:val="2"/>
      <w:sz w:val="18"/>
      <w:szCs w:val="18"/>
      <w:lang w:val="en-US" w:eastAsia="zh-CN" w:bidi="ar-SA"/>
    </w:rPr>
  </w:style>
  <w:style w:type="character" w:customStyle="1" w:styleId="154">
    <w:name w:val="mark"/>
    <w:basedOn w:val="54"/>
    <w:autoRedefine/>
    <w:qFormat/>
    <w:uiPriority w:val="0"/>
  </w:style>
  <w:style w:type="character" w:customStyle="1" w:styleId="155">
    <w:name w:val="样式2"/>
    <w:autoRedefine/>
    <w:qFormat/>
    <w:uiPriority w:val="0"/>
    <w:rPr>
      <w:rFonts w:eastAsia="STKaiti"/>
      <w:b/>
      <w:sz w:val="32"/>
    </w:rPr>
  </w:style>
  <w:style w:type="character" w:customStyle="1" w:styleId="156">
    <w:name w:val="ALT+Z Char"/>
    <w:autoRedefine/>
    <w:qFormat/>
    <w:uiPriority w:val="0"/>
    <w:rPr>
      <w:rFonts w:ascii="宋体"/>
      <w:sz w:val="34"/>
    </w:rPr>
  </w:style>
  <w:style w:type="character" w:customStyle="1" w:styleId="157">
    <w:name w:val="标题 1 Char"/>
    <w:link w:val="4"/>
    <w:qFormat/>
    <w:uiPriority w:val="0"/>
    <w:rPr>
      <w:rFonts w:ascii="黑体" w:eastAsia="黑体"/>
      <w:bCs/>
      <w:kern w:val="44"/>
      <w:sz w:val="24"/>
      <w:szCs w:val="24"/>
    </w:rPr>
  </w:style>
  <w:style w:type="character" w:customStyle="1" w:styleId="158">
    <w:name w:val="正文 A Char Char"/>
    <w:link w:val="159"/>
    <w:autoRedefine/>
    <w:qFormat/>
    <w:uiPriority w:val="0"/>
    <w:rPr>
      <w:rFonts w:ascii="FangSong_GB2312" w:hAnsi="Heiti SC Light" w:eastAsia="FangSong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FangSong_GB2312" w:hAnsi="Heiti SC Light" w:eastAsia="FangSong_GB2312" w:cs="Times New Roman"/>
      <w:kern w:val="2"/>
      <w:sz w:val="24"/>
      <w:lang w:val="en-US" w:eastAsia="zh-CN" w:bidi="ar-SA"/>
    </w:rPr>
  </w:style>
  <w:style w:type="character" w:customStyle="1" w:styleId="160">
    <w:name w:val="正文首行缩进 Char"/>
    <w:link w:val="50"/>
    <w:autoRedefine/>
    <w:qFormat/>
    <w:uiPriority w:val="0"/>
    <w:rPr>
      <w:rFonts w:ascii="Calibri" w:hAnsi="Calibri" w:eastAsia="宋体"/>
      <w:kern w:val="2"/>
      <w:sz w:val="21"/>
      <w:szCs w:val="22"/>
      <w:lang w:val="en-US" w:eastAsia="zh-CN" w:bidi="ar-SA"/>
    </w:rPr>
  </w:style>
  <w:style w:type="character" w:customStyle="1" w:styleId="161">
    <w:name w:val="ca-9"/>
    <w:basedOn w:val="54"/>
    <w:qFormat/>
    <w:uiPriority w:val="0"/>
  </w:style>
  <w:style w:type="character" w:customStyle="1" w:styleId="162">
    <w:name w:val="正文（缩进） Char Char"/>
    <w:link w:val="163"/>
    <w:autoRedefine/>
    <w:qFormat/>
    <w:uiPriority w:val="0"/>
    <w:rPr>
      <w:rFonts w:eastAsia="宋体"/>
      <w:kern w:val="2"/>
      <w:sz w:val="24"/>
      <w:szCs w:val="24"/>
      <w:lang w:val="en-US" w:eastAsia="zh-CN" w:bidi="ar-SA"/>
    </w:rPr>
  </w:style>
  <w:style w:type="paragraph" w:customStyle="1" w:styleId="163">
    <w:name w:val="正文（缩进）"/>
    <w:basedOn w:val="1"/>
    <w:link w:val="162"/>
    <w:autoRedefine/>
    <w:qFormat/>
    <w:uiPriority w:val="0"/>
    <w:pPr>
      <w:spacing w:beforeLines="50" w:afterLines="50" w:line="360" w:lineRule="auto"/>
      <w:ind w:firstLine="480" w:firstLineChars="200"/>
    </w:pPr>
    <w:rPr>
      <w:sz w:val="24"/>
    </w:rPr>
  </w:style>
  <w:style w:type="paragraph" w:customStyle="1" w:styleId="16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8"/>
      </w:numPr>
      <w:spacing w:line="360" w:lineRule="auto"/>
    </w:pPr>
    <w:rPr>
      <w:rFonts w:ascii="宋体"/>
    </w:rPr>
  </w:style>
  <w:style w:type="paragraph" w:customStyle="1" w:styleId="16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autoRedefine/>
    <w:qFormat/>
    <w:uiPriority w:val="0"/>
    <w:pPr>
      <w:widowControl/>
      <w:spacing w:after="40" w:line="360" w:lineRule="auto"/>
      <w:ind w:firstLine="200" w:firstLineChars="200"/>
    </w:pPr>
    <w:rPr>
      <w:kern w:val="0"/>
      <w:sz w:val="24"/>
    </w:rPr>
  </w:style>
  <w:style w:type="paragraph" w:customStyle="1" w:styleId="1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7"/>
    <w:qFormat/>
    <w:uiPriority w:val="0"/>
    <w:pPr>
      <w:numPr>
        <w:ilvl w:val="3"/>
        <w:numId w:val="9"/>
      </w:numPr>
      <w:tabs>
        <w:tab w:val="left" w:pos="425"/>
        <w:tab w:val="clear" w:pos="1984"/>
      </w:tabs>
    </w:pPr>
    <w:rPr>
      <w:bCs w:val="0"/>
    </w:rPr>
  </w:style>
  <w:style w:type="paragraph" w:customStyle="1" w:styleId="172">
    <w:name w:val="p0"/>
    <w:basedOn w:val="1"/>
    <w:autoRedefine/>
    <w:qFormat/>
    <w:uiPriority w:val="0"/>
    <w:pPr>
      <w:widowControl/>
    </w:pPr>
    <w:rPr>
      <w:kern w:val="0"/>
      <w:szCs w:val="21"/>
    </w:rPr>
  </w:style>
  <w:style w:type="paragraph" w:customStyle="1" w:styleId="173">
    <w:name w:val="正文序号 1"/>
    <w:basedOn w:val="1"/>
    <w:autoRedefine/>
    <w:qFormat/>
    <w:uiPriority w:val="0"/>
    <w:pPr>
      <w:numPr>
        <w:ilvl w:val="0"/>
        <w:numId w:val="10"/>
      </w:numPr>
      <w:spacing w:before="60"/>
    </w:pPr>
  </w:style>
  <w:style w:type="paragraph" w:customStyle="1" w:styleId="17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autoRedefine/>
    <w:qFormat/>
    <w:uiPriority w:val="0"/>
    <w:pPr>
      <w:numPr>
        <w:ilvl w:val="1"/>
        <w:numId w:val="11"/>
      </w:numPr>
    </w:pPr>
    <w:rPr>
      <w:rFonts w:ascii="Arial" w:hAnsi="Arial" w:cs="宋体"/>
      <w:b w:val="0"/>
      <w:bCs w:val="0"/>
    </w:rPr>
  </w:style>
  <w:style w:type="paragraph" w:customStyle="1" w:styleId="177">
    <w:name w:val="样式 标题 4Alt+41.1.1.1 Heading 4bulletblbbH44h4H41h41H42... Char"/>
    <w:basedOn w:val="7"/>
    <w:autoRedefine/>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5"/>
    <w:autoRedefine/>
    <w:qFormat/>
    <w:uiPriority w:val="0"/>
    <w:pPr>
      <w:ind w:left="-132" w:leftChars="-64" w:right="-105" w:rightChars="-50" w:hanging="2"/>
      <w:jc w:val="center"/>
    </w:pPr>
    <w:rPr>
      <w:b/>
      <w:color w:val="FF0000"/>
      <w:szCs w:val="21"/>
      <w:lang w:val="en-GB"/>
    </w:rPr>
  </w:style>
  <w:style w:type="paragraph" w:customStyle="1" w:styleId="180">
    <w:name w:val="font6"/>
    <w:basedOn w:val="1"/>
    <w:autoRedefine/>
    <w:qFormat/>
    <w:uiPriority w:val="0"/>
    <w:pPr>
      <w:widowControl/>
      <w:spacing w:before="100" w:beforeAutospacing="1" w:after="100" w:afterAutospacing="1"/>
      <w:jc w:val="left"/>
    </w:pPr>
    <w:rPr>
      <w:kern w:val="0"/>
      <w:sz w:val="24"/>
    </w:rPr>
  </w:style>
  <w:style w:type="paragraph" w:customStyle="1" w:styleId="18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autoRedefine/>
    <w:qFormat/>
    <w:uiPriority w:val="0"/>
    <w:pPr>
      <w:numPr>
        <w:ilvl w:val="1"/>
        <w:numId w:val="10"/>
      </w:numPr>
      <w:spacing w:before="60"/>
    </w:pPr>
  </w:style>
  <w:style w:type="paragraph" w:customStyle="1" w:styleId="18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autoRedefine/>
    <w:qFormat/>
    <w:uiPriority w:val="0"/>
    <w:pPr>
      <w:tabs>
        <w:tab w:val="left" w:pos="425"/>
      </w:tabs>
      <w:ind w:left="425" w:hanging="425"/>
    </w:pPr>
    <w:rPr>
      <w:sz w:val="24"/>
    </w:rPr>
  </w:style>
  <w:style w:type="paragraph" w:customStyle="1" w:styleId="19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autoRedefine/>
    <w:qFormat/>
    <w:uiPriority w:val="0"/>
    <w:pPr>
      <w:numPr>
        <w:ilvl w:val="0"/>
        <w:numId w:val="12"/>
      </w:numPr>
      <w:spacing w:line="360" w:lineRule="auto"/>
    </w:pPr>
    <w:rPr>
      <w:sz w:val="24"/>
    </w:rPr>
  </w:style>
  <w:style w:type="paragraph" w:customStyle="1" w:styleId="194">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autoRedefine/>
    <w:qFormat/>
    <w:uiPriority w:val="0"/>
    <w:rPr>
      <w:rFonts w:ascii="Tahoma" w:hAnsi="Tahoma"/>
      <w:sz w:val="24"/>
      <w:szCs w:val="20"/>
    </w:rPr>
  </w:style>
  <w:style w:type="paragraph" w:customStyle="1" w:styleId="196">
    <w:name w:val="段"/>
    <w:qFormat/>
    <w:uiPriority w:val="0"/>
    <w:pPr>
      <w:numPr>
        <w:ilvl w:val="0"/>
        <w:numId w:val="13"/>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9"/>
    <w:autoRedefine/>
    <w:qFormat/>
    <w:uiPriority w:val="0"/>
    <w:pPr>
      <w:numPr>
        <w:ilvl w:val="4"/>
        <w:numId w:val="9"/>
      </w:numPr>
      <w:tabs>
        <w:tab w:val="left" w:pos="425"/>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autoRedefine/>
    <w:qFormat/>
    <w:uiPriority w:val="0"/>
    <w:pPr>
      <w:widowControl/>
      <w:spacing w:before="100" w:beforeAutospacing="1" w:after="100" w:afterAutospacing="1"/>
      <w:jc w:val="left"/>
    </w:pPr>
    <w:rPr>
      <w:kern w:val="0"/>
      <w:sz w:val="22"/>
      <w:szCs w:val="22"/>
    </w:rPr>
  </w:style>
  <w:style w:type="paragraph" w:customStyle="1" w:styleId="21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5"/>
    <w:autoRedefine/>
    <w:qFormat/>
    <w:uiPriority w:val="0"/>
    <w:pPr>
      <w:jc w:val="center"/>
    </w:pPr>
    <w:rPr>
      <w:b/>
      <w:color w:val="000000"/>
      <w:sz w:val="24"/>
      <w:szCs w:val="21"/>
    </w:rPr>
  </w:style>
  <w:style w:type="paragraph" w:customStyle="1" w:styleId="21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autoRedefine/>
    <w:qFormat/>
    <w:uiPriority w:val="0"/>
    <w:pPr>
      <w:tabs>
        <w:tab w:val="left" w:pos="425"/>
      </w:tabs>
      <w:ind w:left="425" w:hanging="425"/>
    </w:pPr>
    <w:rPr>
      <w:rFonts w:eastAsia="FangSong_GB2312"/>
      <w:kern w:val="24"/>
      <w:sz w:val="24"/>
    </w:rPr>
  </w:style>
  <w:style w:type="paragraph" w:customStyle="1" w:styleId="217">
    <w:name w:val="Char"/>
    <w:basedOn w:val="1"/>
    <w:autoRedefine/>
    <w:qFormat/>
    <w:uiPriority w:val="0"/>
    <w:pPr>
      <w:tabs>
        <w:tab w:val="left" w:pos="1365"/>
      </w:tabs>
      <w:ind w:left="1365" w:hanging="360"/>
    </w:pPr>
    <w:rPr>
      <w:sz w:val="24"/>
    </w:rPr>
  </w:style>
  <w:style w:type="paragraph" w:customStyle="1" w:styleId="218">
    <w:name w:val="font15"/>
    <w:basedOn w:val="1"/>
    <w:autoRedefine/>
    <w:qFormat/>
    <w:uiPriority w:val="0"/>
    <w:pPr>
      <w:widowControl/>
      <w:spacing w:before="100" w:beforeAutospacing="1" w:after="100" w:afterAutospacing="1"/>
      <w:jc w:val="left"/>
    </w:pPr>
    <w:rPr>
      <w:kern w:val="0"/>
      <w:sz w:val="20"/>
      <w:szCs w:val="20"/>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autoRedefine/>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autoRedefine/>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autoRedefine/>
    <w:qFormat/>
    <w:uiPriority w:val="0"/>
    <w:pPr>
      <w:numPr>
        <w:ilvl w:val="3"/>
        <w:numId w:val="14"/>
      </w:numPr>
      <w:tabs>
        <w:tab w:val="clear" w:pos="1914"/>
      </w:tabs>
    </w:pPr>
    <w:rPr>
      <w:color w:val="auto"/>
    </w:rPr>
  </w:style>
  <w:style w:type="paragraph" w:customStyle="1" w:styleId="226">
    <w:name w:val="表格"/>
    <w:basedOn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KaiTi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23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4"/>
    <w:qFormat/>
    <w:uiPriority w:val="0"/>
    <w:pPr>
      <w:numPr>
        <w:numId w:val="15"/>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autoRedefine/>
    <w:qFormat/>
    <w:uiPriority w:val="34"/>
    <w:pPr>
      <w:ind w:firstLine="200" w:firstLineChars="200"/>
    </w:pPr>
    <w:rPr>
      <w:rFonts w:ascii="Calibri" w:hAnsi="Calibri"/>
      <w:szCs w:val="22"/>
    </w:rPr>
  </w:style>
  <w:style w:type="paragraph" w:customStyle="1" w:styleId="243">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6"/>
      </w:numPr>
      <w:tabs>
        <w:tab w:val="clear" w:pos="2040"/>
      </w:tabs>
      <w:spacing w:before="120" w:after="120" w:line="360" w:lineRule="auto"/>
      <w:ind w:left="0" w:firstLine="0"/>
    </w:pPr>
    <w:rPr>
      <w:rFonts w:cs="宋体"/>
      <w:sz w:val="24"/>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autoRedefine/>
    <w:qFormat/>
    <w:uiPriority w:val="0"/>
    <w:pPr>
      <w:numPr>
        <w:ilvl w:val="2"/>
        <w:numId w:val="10"/>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1">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5"/>
    <w:autoRedefine/>
    <w:qFormat/>
    <w:uiPriority w:val="0"/>
    <w:pPr>
      <w:widowControl w:val="0"/>
      <w:numPr>
        <w:ilvl w:val="0"/>
        <w:numId w:val="17"/>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10"/>
    <w:autoRedefine/>
    <w:qFormat/>
    <w:uiPriority w:val="0"/>
    <w:pPr>
      <w:numPr>
        <w:ilvl w:val="5"/>
        <w:numId w:val="9"/>
      </w:numPr>
      <w:tabs>
        <w:tab w:val="left" w:pos="425"/>
        <w:tab w:val="clear" w:pos="3260"/>
      </w:tabs>
      <w:spacing w:line="319" w:lineRule="auto"/>
    </w:pPr>
    <w:rPr>
      <w:bCs w:val="0"/>
    </w:rPr>
  </w:style>
  <w:style w:type="paragraph" w:customStyle="1" w:styleId="262">
    <w:name w:val="样式1"/>
    <w:next w:val="17"/>
    <w:autoRedefine/>
    <w:qFormat/>
    <w:uiPriority w:val="0"/>
    <w:pPr>
      <w:widowControl w:val="0"/>
      <w:tabs>
        <w:tab w:val="left" w:pos="360"/>
      </w:tabs>
      <w:ind w:left="360" w:firstLine="200" w:firstLineChars="200"/>
      <w:jc w:val="both"/>
    </w:pPr>
    <w:rPr>
      <w:rFonts w:ascii="Times New Roman" w:hAnsi="Times New Roman" w:eastAsia="FangSong_GB2312" w:cs="Times New Roman"/>
      <w:kern w:val="2"/>
      <w:sz w:val="32"/>
      <w:lang w:val="en-US" w:eastAsia="zh-CN" w:bidi="ar-SA"/>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autoRedefine/>
    <w:qFormat/>
    <w:uiPriority w:val="0"/>
    <w:pPr>
      <w:spacing w:line="560" w:lineRule="atLeast"/>
    </w:pPr>
    <w:rPr>
      <w:rFonts w:ascii="宋体" w:hAnsi="Arial"/>
      <w:bCs w:val="0"/>
      <w:sz w:val="44"/>
      <w:szCs w:val="20"/>
    </w:rPr>
  </w:style>
  <w:style w:type="paragraph" w:customStyle="1" w:styleId="266">
    <w:name w:val="List Paragraph1"/>
    <w:basedOn w:val="1"/>
    <w:autoRedefine/>
    <w:qFormat/>
    <w:uiPriority w:val="0"/>
    <w:pPr>
      <w:ind w:firstLine="420" w:firstLineChars="200"/>
    </w:pPr>
    <w:rPr>
      <w:rFonts w:ascii="Calibri" w:hAnsi="Calibri" w:cs="黑体"/>
      <w:szCs w:val="22"/>
    </w:rPr>
  </w:style>
  <w:style w:type="paragraph" w:customStyle="1" w:styleId="267">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autoRedefine/>
    <w:qFormat/>
    <w:uiPriority w:val="0"/>
    <w:pPr>
      <w:autoSpaceDE w:val="0"/>
      <w:autoSpaceDN w:val="0"/>
      <w:adjustRightInd w:val="0"/>
      <w:jc w:val="left"/>
    </w:pPr>
    <w:rPr>
      <w:kern w:val="0"/>
      <w:sz w:val="24"/>
    </w:rPr>
  </w:style>
  <w:style w:type="paragraph" w:customStyle="1" w:styleId="269">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8"/>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autoRedefine/>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autoRedefine/>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autoRedefine/>
    <w:qFormat/>
    <w:uiPriority w:val="0"/>
    <w:pPr>
      <w:jc w:val="center"/>
    </w:pPr>
    <w:rPr>
      <w:position w:val="6"/>
      <w:szCs w:val="20"/>
    </w:rPr>
  </w:style>
  <w:style w:type="paragraph" w:customStyle="1" w:styleId="286">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7">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8"/>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autoRedefine/>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6"/>
    <w:autoRedefine/>
    <w:qFormat/>
    <w:uiPriority w:val="0"/>
    <w:pPr>
      <w:widowControl w:val="0"/>
      <w:numPr>
        <w:numId w:val="9"/>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autoRedefine/>
    <w:qFormat/>
    <w:uiPriority w:val="0"/>
    <w:pPr>
      <w:widowControl/>
      <w:spacing w:after="160" w:line="240" w:lineRule="exact"/>
      <w:jc w:val="left"/>
    </w:pPr>
  </w:style>
  <w:style w:type="paragraph" w:customStyle="1" w:styleId="304">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autoRedefine/>
    <w:qFormat/>
    <w:uiPriority w:val="0"/>
    <w:pPr>
      <w:widowControl/>
      <w:spacing w:after="160" w:line="240" w:lineRule="exact"/>
      <w:jc w:val="left"/>
    </w:pPr>
    <w:rPr>
      <w:sz w:val="32"/>
      <w:szCs w:val="20"/>
    </w:rPr>
  </w:style>
  <w:style w:type="paragraph" w:customStyle="1" w:styleId="312">
    <w:name w:val="pa-3"/>
    <w:basedOn w:val="1"/>
    <w:autoRedefine/>
    <w:qFormat/>
    <w:uiPriority w:val="0"/>
    <w:pPr>
      <w:widowControl/>
      <w:spacing w:before="150" w:after="150"/>
      <w:jc w:val="left"/>
    </w:pPr>
    <w:rPr>
      <w:rFonts w:ascii="宋体" w:hAnsi="宋体" w:cs="宋体"/>
      <w:kern w:val="0"/>
      <w:sz w:val="24"/>
    </w:rPr>
  </w:style>
  <w:style w:type="paragraph" w:customStyle="1" w:styleId="31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autoRedefine/>
    <w:qFormat/>
    <w:uiPriority w:val="0"/>
    <w:rPr>
      <w:rFonts w:ascii="宋体" w:hAnsi="宋体"/>
      <w:b/>
      <w:sz w:val="28"/>
      <w:szCs w:val="28"/>
    </w:rPr>
  </w:style>
  <w:style w:type="paragraph" w:customStyle="1" w:styleId="316">
    <w:name w:val="_Style 2"/>
    <w:basedOn w:val="1"/>
    <w:autoRedefine/>
    <w:qFormat/>
    <w:uiPriority w:val="0"/>
    <w:pPr>
      <w:ind w:firstLine="420" w:firstLineChars="200"/>
    </w:pPr>
  </w:style>
  <w:style w:type="paragraph" w:customStyle="1" w:styleId="317">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autoRedefine/>
    <w:qFormat/>
    <w:uiPriority w:val="0"/>
    <w:pPr>
      <w:numPr>
        <w:ilvl w:val="3"/>
        <w:numId w:val="10"/>
      </w:numPr>
      <w:spacing w:before="60"/>
    </w:pPr>
  </w:style>
  <w:style w:type="paragraph" w:customStyle="1" w:styleId="327">
    <w:name w:val="特点标题"/>
    <w:basedOn w:val="1"/>
    <w:next w:val="41"/>
    <w:autoRedefine/>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正文文本样式"/>
    <w:basedOn w:val="1"/>
    <w:autoRedefine/>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autoRedefine/>
    <w:qFormat/>
    <w:uiPriority w:val="0"/>
    <w:pPr>
      <w:spacing w:line="360" w:lineRule="auto"/>
    </w:pPr>
    <w:rPr>
      <w:rFonts w:ascii="宋体" w:hAnsi="宋体"/>
      <w:sz w:val="24"/>
    </w:rPr>
  </w:style>
  <w:style w:type="paragraph" w:styleId="33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50"/>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autoRedefine/>
    <w:qFormat/>
    <w:uiPriority w:val="0"/>
    <w:pPr>
      <w:numPr>
        <w:ilvl w:val="0"/>
        <w:numId w:val="20"/>
      </w:numPr>
      <w:jc w:val="left"/>
    </w:pPr>
  </w:style>
  <w:style w:type="paragraph" w:customStyle="1" w:styleId="346">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50"/>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4"/>
    <w:autoRedefine/>
    <w:semiHidden/>
    <w:qFormat/>
    <w:uiPriority w:val="99"/>
    <w:rPr>
      <w:color w:val="808080"/>
    </w:rPr>
  </w:style>
  <w:style w:type="character" w:customStyle="1" w:styleId="351">
    <w:name w:val="font41"/>
    <w:basedOn w:val="54"/>
    <w:autoRedefine/>
    <w:qFormat/>
    <w:uiPriority w:val="0"/>
    <w:rPr>
      <w:rFonts w:hint="eastAsia" w:ascii="仿宋" w:hAnsi="仿宋" w:eastAsia="仿宋" w:cs="仿宋"/>
      <w:color w:val="000000"/>
      <w:sz w:val="22"/>
      <w:szCs w:val="22"/>
      <w:u w:val="none"/>
    </w:rPr>
  </w:style>
  <w:style w:type="character" w:customStyle="1" w:styleId="352">
    <w:name w:val="font71"/>
    <w:basedOn w:val="54"/>
    <w:qFormat/>
    <w:uiPriority w:val="0"/>
    <w:rPr>
      <w:rFonts w:ascii="微软雅黑" w:hAnsi="微软雅黑" w:eastAsia="微软雅黑" w:cs="微软雅黑"/>
      <w:color w:val="000000"/>
      <w:sz w:val="22"/>
      <w:szCs w:val="22"/>
      <w:u w:val="none"/>
    </w:rPr>
  </w:style>
  <w:style w:type="character" w:customStyle="1" w:styleId="353">
    <w:name w:val="font81"/>
    <w:basedOn w:val="54"/>
    <w:autoRedefine/>
    <w:qFormat/>
    <w:uiPriority w:val="0"/>
    <w:rPr>
      <w:rFonts w:ascii="Microsoft YaHei UI" w:hAnsi="Microsoft YaHei UI" w:eastAsia="Microsoft YaHei UI" w:cs="Microsoft YaHei UI"/>
      <w:color w:val="000000"/>
      <w:sz w:val="22"/>
      <w:szCs w:val="22"/>
      <w:u w:val="none"/>
    </w:rPr>
  </w:style>
  <w:style w:type="character" w:customStyle="1" w:styleId="354">
    <w:name w:val="font51"/>
    <w:basedOn w:val="54"/>
    <w:autoRedefine/>
    <w:qFormat/>
    <w:uiPriority w:val="0"/>
    <w:rPr>
      <w:rFonts w:hint="eastAsia" w:ascii="仿宋" w:hAnsi="仿宋" w:eastAsia="仿宋" w:cs="仿宋"/>
      <w:color w:val="000000"/>
      <w:sz w:val="22"/>
      <w:szCs w:val="22"/>
      <w:u w:val="none"/>
    </w:rPr>
  </w:style>
  <w:style w:type="paragraph" w:customStyle="1" w:styleId="355">
    <w:name w:val="样式 宋体 行距: 1.5 倍行距"/>
    <w:basedOn w:val="1"/>
    <w:autoRedefine/>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898C0D-3015-4B69-B455-D2647700961E}">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1</Pages>
  <Words>7026</Words>
  <Characters>40051</Characters>
  <Lines>333</Lines>
  <Paragraphs>93</Paragraphs>
  <TotalTime>31</TotalTime>
  <ScaleCrop>false</ScaleCrop>
  <LinksUpToDate>false</LinksUpToDate>
  <CharactersWithSpaces>46984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2021-09-18T03:42:00Z</dcterms:created>
  <dc:creator>杨佳佳</dc:creator>
  <cp:lastModifiedBy>Administrator</cp:lastModifiedBy>
  <cp:lastPrinted>2021-07-08T03:17:00Z</cp:lastPrinted>
  <dcterms:modified xsi:type="dcterms:W3CDTF">2025-10-20T02:46:30Z</dcterms:modified>
  <dc:title>货物公开招标</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BB9EC90B6AE54A9E899E6D334BE5D71C</vt:lpwstr>
  </property>
  <property fmtid="{D5CDD505-2E9C-101B-9397-08002B2CF9AE}" pid="4" name="_DocHome">
    <vt:i4>958655260</vt:i4>
  </property>
</Properties>
</file>