
<file path=[Content_Types].xml><?xml version="1.0" encoding="utf-8"?>
<Types xmlns="http://schemas.openxmlformats.org/package/2006/content-types">
  <Default Extension="xml" ContentType="application/xml"/>
  <Default Extension="wmf" ContentType="image/x-wmf"/>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00A3961">
      <w:pPr>
        <w:pStyle w:val="27"/>
        <w:widowControl/>
        <w:shd w:val="clear"/>
        <w:adjustRightInd w:val="0"/>
        <w:snapToGrid w:val="0"/>
        <w:spacing w:line="360" w:lineRule="auto"/>
        <w:jc w:val="both"/>
        <w:rPr>
          <w:rFonts w:hint="eastAsia" w:ascii="宋体" w:hAnsi="宋体" w:eastAsia="宋体" w:cs="宋体"/>
          <w:bCs/>
          <w:color w:val="auto"/>
          <w:sz w:val="32"/>
          <w:highlight w:val="none"/>
          <w:lang w:eastAsia="zh-CN"/>
        </w:rPr>
      </w:pPr>
      <w:r>
        <w:rPr>
          <w:rFonts w:hint="eastAsia" w:ascii="宋体" w:hAnsi="宋体" w:eastAsia="宋体" w:cs="宋体"/>
          <w:bCs/>
          <w:color w:val="auto"/>
          <w:sz w:val="32"/>
          <w:highlight w:val="none"/>
          <w:lang w:eastAsia="zh-CN"/>
        </w:rPr>
        <w:drawing>
          <wp:inline distT="0" distB="0" distL="114300" distR="114300">
            <wp:extent cx="2160270" cy="1510665"/>
            <wp:effectExtent l="0" t="0" r="11430" b="13335"/>
            <wp:docPr id="1" name="图片 1" descr="45b13671-0c1f-49f6-abee-67712bbd46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45b13671-0c1f-49f6-abee-67712bbd4620"/>
                    <pic:cNvPicPr>
                      <a:picLocks noChangeAspect="1"/>
                    </pic:cNvPicPr>
                  </pic:nvPicPr>
                  <pic:blipFill>
                    <a:blip r:embed="rId9"/>
                    <a:stretch>
                      <a:fillRect/>
                    </a:stretch>
                  </pic:blipFill>
                  <pic:spPr>
                    <a:xfrm>
                      <a:off x="0" y="0"/>
                      <a:ext cx="2160270" cy="1510665"/>
                    </a:xfrm>
                    <a:prstGeom prst="rect">
                      <a:avLst/>
                    </a:prstGeom>
                  </pic:spPr>
                </pic:pic>
              </a:graphicData>
            </a:graphic>
          </wp:inline>
        </w:drawing>
      </w:r>
    </w:p>
    <w:p w14:paraId="4AA56CE0">
      <w:pPr>
        <w:pStyle w:val="27"/>
        <w:widowControl/>
        <w:shd w:val="clear"/>
        <w:adjustRightInd w:val="0"/>
        <w:snapToGrid w:val="0"/>
        <w:spacing w:line="360" w:lineRule="auto"/>
        <w:jc w:val="center"/>
        <w:rPr>
          <w:rFonts w:hint="eastAsia" w:ascii="宋体" w:hAnsi="宋体" w:eastAsia="宋体" w:cs="宋体"/>
          <w:bCs/>
          <w:color w:val="auto"/>
          <w:sz w:val="52"/>
          <w:szCs w:val="52"/>
          <w:highlight w:val="none"/>
        </w:rPr>
      </w:pPr>
      <w:r>
        <w:rPr>
          <w:rFonts w:hint="eastAsia" w:ascii="宋体" w:hAnsi="宋体" w:eastAsia="宋体" w:cs="宋体"/>
          <w:bCs/>
          <w:color w:val="auto"/>
          <w:sz w:val="52"/>
          <w:szCs w:val="52"/>
          <w:highlight w:val="none"/>
        </w:rPr>
        <w:t>公开招标</w:t>
      </w:r>
    </w:p>
    <w:p w14:paraId="19C59D01">
      <w:pPr>
        <w:pStyle w:val="27"/>
        <w:widowControl/>
        <w:shd w:val="clear"/>
        <w:adjustRightInd w:val="0"/>
        <w:snapToGrid w:val="0"/>
        <w:spacing w:line="360" w:lineRule="auto"/>
        <w:jc w:val="center"/>
        <w:rPr>
          <w:rFonts w:hint="eastAsia" w:ascii="宋体" w:hAnsi="宋体" w:eastAsia="宋体" w:cs="宋体"/>
          <w:bCs/>
          <w:color w:val="auto"/>
          <w:sz w:val="72"/>
          <w:szCs w:val="72"/>
          <w:highlight w:val="none"/>
        </w:rPr>
      </w:pPr>
    </w:p>
    <w:p w14:paraId="3D12FF89">
      <w:pPr>
        <w:pStyle w:val="27"/>
        <w:widowControl/>
        <w:shd w:val="clear"/>
        <w:adjustRightInd w:val="0"/>
        <w:snapToGrid w:val="0"/>
        <w:spacing w:line="360" w:lineRule="auto"/>
        <w:jc w:val="center"/>
        <w:rPr>
          <w:rFonts w:hint="eastAsia" w:ascii="宋体" w:hAnsi="宋体" w:eastAsia="宋体" w:cs="宋体"/>
          <w:bCs/>
          <w:color w:val="auto"/>
          <w:sz w:val="36"/>
          <w:highlight w:val="none"/>
        </w:rPr>
      </w:pPr>
      <w:r>
        <w:rPr>
          <w:rFonts w:hint="eastAsia" w:ascii="宋体" w:hAnsi="宋体" w:eastAsia="宋体" w:cs="宋体"/>
          <w:bCs/>
          <w:color w:val="auto"/>
          <w:sz w:val="72"/>
          <w:highlight w:val="none"/>
        </w:rPr>
        <w:t>招  标  文  件</w:t>
      </w:r>
    </w:p>
    <w:p w14:paraId="41299674">
      <w:pPr>
        <w:pStyle w:val="27"/>
        <w:widowControl/>
        <w:shd w:val="clear"/>
        <w:adjustRightInd w:val="0"/>
        <w:snapToGrid w:val="0"/>
        <w:spacing w:line="360" w:lineRule="auto"/>
        <w:jc w:val="both"/>
        <w:rPr>
          <w:rFonts w:hint="eastAsia" w:ascii="宋体" w:hAnsi="宋体" w:eastAsia="宋体" w:cs="宋体"/>
          <w:bCs/>
          <w:color w:val="auto"/>
          <w:sz w:val="52"/>
          <w:szCs w:val="52"/>
          <w:highlight w:val="none"/>
        </w:rPr>
      </w:pPr>
    </w:p>
    <w:p w14:paraId="6A3191C6">
      <w:pPr>
        <w:pStyle w:val="27"/>
        <w:widowControl/>
        <w:shd w:val="clear"/>
        <w:adjustRightInd w:val="0"/>
        <w:snapToGrid w:val="0"/>
        <w:spacing w:line="360" w:lineRule="auto"/>
        <w:jc w:val="both"/>
        <w:rPr>
          <w:rFonts w:hint="eastAsia" w:ascii="宋体" w:hAnsi="宋体" w:eastAsia="宋体" w:cs="宋体"/>
          <w:bCs/>
          <w:color w:val="auto"/>
          <w:sz w:val="52"/>
          <w:szCs w:val="52"/>
          <w:highlight w:val="none"/>
        </w:rPr>
      </w:pPr>
    </w:p>
    <w:p w14:paraId="71727FC7">
      <w:pPr>
        <w:keepNext w:val="0"/>
        <w:keepLines w:val="0"/>
        <w:pageBreakBefore w:val="0"/>
        <w:widowControl w:val="0"/>
        <w:shd w:val="clear"/>
        <w:kinsoku/>
        <w:wordWrap/>
        <w:overflowPunct/>
        <w:topLinePunct w:val="0"/>
        <w:autoSpaceDE w:val="0"/>
        <w:autoSpaceDN w:val="0"/>
        <w:bidi w:val="0"/>
        <w:adjustRightInd/>
        <w:snapToGrid/>
        <w:spacing w:before="0" w:line="360" w:lineRule="auto"/>
        <w:ind w:left="420" w:leftChars="200" w:right="0" w:firstLine="0" w:firstLineChars="0"/>
        <w:jc w:val="left"/>
        <w:textAlignment w:val="auto"/>
        <w:rPr>
          <w:rFonts w:hint="eastAsia" w:ascii="宋体" w:hAnsi="宋体" w:eastAsia="宋体" w:cs="宋体"/>
          <w:b/>
          <w:bCs w:val="0"/>
          <w:color w:val="auto"/>
          <w:sz w:val="28"/>
          <w:szCs w:val="28"/>
          <w:highlight w:val="none"/>
          <w:lang w:val="en-US" w:eastAsia="zh-CN"/>
        </w:rPr>
      </w:pPr>
      <w:r>
        <w:rPr>
          <w:rFonts w:hint="eastAsia" w:ascii="宋体" w:hAnsi="宋体" w:eastAsia="宋体" w:cs="宋体"/>
          <w:b/>
          <w:bCs w:val="0"/>
          <w:color w:val="auto"/>
          <w:sz w:val="28"/>
          <w:szCs w:val="28"/>
          <w:highlight w:val="none"/>
        </w:rPr>
        <w:t>项</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目</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编</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号：</w:t>
      </w:r>
      <w:r>
        <w:rPr>
          <w:rFonts w:hint="eastAsia" w:cs="宋体"/>
          <w:b/>
          <w:bCs w:val="0"/>
          <w:color w:val="auto"/>
          <w:sz w:val="28"/>
          <w:szCs w:val="28"/>
          <w:highlight w:val="none"/>
          <w:lang w:val="en-US" w:eastAsia="zh-CN"/>
        </w:rPr>
        <w:t>YJYT20260929</w:t>
      </w:r>
    </w:p>
    <w:p w14:paraId="21FF341C">
      <w:pPr>
        <w:keepNext w:val="0"/>
        <w:keepLines w:val="0"/>
        <w:pageBreakBefore w:val="0"/>
        <w:widowControl w:val="0"/>
        <w:shd w:val="clear"/>
        <w:kinsoku/>
        <w:wordWrap/>
        <w:overflowPunct/>
        <w:topLinePunct w:val="0"/>
        <w:autoSpaceDE w:val="0"/>
        <w:autoSpaceDN w:val="0"/>
        <w:bidi w:val="0"/>
        <w:adjustRightInd/>
        <w:snapToGrid/>
        <w:spacing w:before="0" w:line="360" w:lineRule="auto"/>
        <w:ind w:left="420" w:leftChars="200" w:right="0" w:firstLine="0" w:firstLineChars="0"/>
        <w:jc w:val="left"/>
        <w:textAlignment w:val="auto"/>
        <w:rPr>
          <w:rFonts w:hint="eastAsia" w:ascii="宋体" w:hAnsi="宋体" w:cs="宋体"/>
          <w:b/>
          <w:bCs w:val="0"/>
          <w:color w:val="auto"/>
          <w:sz w:val="28"/>
          <w:szCs w:val="28"/>
          <w:highlight w:val="none"/>
          <w:lang w:eastAsia="zh-CN"/>
        </w:rPr>
      </w:pPr>
      <w:r>
        <w:rPr>
          <w:rFonts w:hint="eastAsia" w:ascii="宋体" w:hAnsi="宋体" w:eastAsia="宋体" w:cs="宋体"/>
          <w:b/>
          <w:bCs w:val="0"/>
          <w:color w:val="auto"/>
          <w:sz w:val="28"/>
          <w:szCs w:val="28"/>
          <w:highlight w:val="none"/>
        </w:rPr>
        <w:t>项</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目</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名</w:t>
      </w:r>
      <w:r>
        <w:rPr>
          <w:rFonts w:hint="eastAsia" w:ascii="宋体" w:hAnsi="宋体" w:eastAsia="宋体" w:cs="宋体"/>
          <w:b/>
          <w:bCs w:val="0"/>
          <w:color w:val="auto"/>
          <w:sz w:val="28"/>
          <w:szCs w:val="28"/>
          <w:highlight w:val="none"/>
          <w:lang w:val="en-US" w:eastAsia="zh-CN"/>
        </w:rPr>
        <w:t xml:space="preserve"> </w:t>
      </w:r>
      <w:r>
        <w:rPr>
          <w:rFonts w:hint="eastAsia" w:ascii="宋体" w:hAnsi="宋体" w:eastAsia="宋体" w:cs="宋体"/>
          <w:b/>
          <w:bCs w:val="0"/>
          <w:color w:val="auto"/>
          <w:sz w:val="28"/>
          <w:szCs w:val="28"/>
          <w:highlight w:val="none"/>
        </w:rPr>
        <w:t>称：</w:t>
      </w:r>
      <w:r>
        <w:rPr>
          <w:rFonts w:hint="eastAsia" w:cs="宋体"/>
          <w:b/>
          <w:bCs w:val="0"/>
          <w:color w:val="auto"/>
          <w:sz w:val="28"/>
          <w:szCs w:val="28"/>
          <w:highlight w:val="none"/>
          <w:lang w:eastAsia="zh-CN"/>
        </w:rPr>
        <w:t>阳江市托育综合服务中心智慧托育管理平台软件与硬件项目</w:t>
      </w:r>
    </w:p>
    <w:p w14:paraId="51AC3C2E">
      <w:pPr>
        <w:keepNext w:val="0"/>
        <w:keepLines w:val="0"/>
        <w:pageBreakBefore w:val="0"/>
        <w:widowControl w:val="0"/>
        <w:shd w:val="clear"/>
        <w:kinsoku/>
        <w:wordWrap/>
        <w:overflowPunct/>
        <w:topLinePunct w:val="0"/>
        <w:autoSpaceDE w:val="0"/>
        <w:autoSpaceDN w:val="0"/>
        <w:bidi w:val="0"/>
        <w:adjustRightInd/>
        <w:snapToGrid/>
        <w:spacing w:before="0" w:line="360" w:lineRule="auto"/>
        <w:ind w:left="420" w:leftChars="200" w:right="0" w:firstLine="0" w:firstLineChars="0"/>
        <w:jc w:val="left"/>
        <w:textAlignment w:val="auto"/>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val="en-US" w:eastAsia="zh-CN"/>
        </w:rPr>
        <w:t>采  购  人：</w:t>
      </w:r>
      <w:r>
        <w:rPr>
          <w:rFonts w:hint="eastAsia" w:cs="宋体"/>
          <w:b/>
          <w:bCs w:val="0"/>
          <w:color w:val="auto"/>
          <w:sz w:val="28"/>
          <w:szCs w:val="28"/>
          <w:highlight w:val="none"/>
          <w:lang w:val="en-US" w:eastAsia="zh-CN"/>
        </w:rPr>
        <w:t>阳江市妇幼保健院</w:t>
      </w:r>
    </w:p>
    <w:p w14:paraId="41CC80B4">
      <w:pPr>
        <w:keepNext w:val="0"/>
        <w:keepLines w:val="0"/>
        <w:pageBreakBefore w:val="0"/>
        <w:widowControl w:val="0"/>
        <w:shd w:val="clear"/>
        <w:kinsoku/>
        <w:wordWrap/>
        <w:overflowPunct/>
        <w:topLinePunct w:val="0"/>
        <w:autoSpaceDE w:val="0"/>
        <w:autoSpaceDN w:val="0"/>
        <w:bidi w:val="0"/>
        <w:adjustRightInd/>
        <w:snapToGrid/>
        <w:spacing w:before="0" w:line="360" w:lineRule="auto"/>
        <w:ind w:left="420" w:leftChars="200" w:right="0" w:firstLine="0" w:firstLineChars="0"/>
        <w:jc w:val="left"/>
        <w:textAlignment w:val="auto"/>
        <w:rPr>
          <w:rFonts w:hint="eastAsia" w:ascii="宋体" w:hAnsi="宋体" w:eastAsia="宋体" w:cs="宋体"/>
          <w:b/>
          <w:bCs w:val="0"/>
          <w:color w:val="auto"/>
          <w:sz w:val="28"/>
          <w:szCs w:val="28"/>
          <w:highlight w:val="none"/>
          <w:lang w:eastAsia="zh-CN"/>
        </w:rPr>
      </w:pPr>
      <w:r>
        <w:rPr>
          <w:rFonts w:hint="eastAsia" w:ascii="宋体" w:hAnsi="宋体" w:eastAsia="宋体" w:cs="宋体"/>
          <w:b/>
          <w:bCs w:val="0"/>
          <w:color w:val="auto"/>
          <w:sz w:val="28"/>
          <w:szCs w:val="28"/>
          <w:highlight w:val="none"/>
          <w:lang w:val="en-US" w:eastAsia="zh-CN"/>
        </w:rPr>
        <w:t>采购代理机构：</w:t>
      </w:r>
      <w:r>
        <w:rPr>
          <w:rFonts w:hint="eastAsia" w:ascii="宋体" w:hAnsi="宋体" w:cs="宋体"/>
          <w:b/>
          <w:bCs w:val="0"/>
          <w:color w:val="auto"/>
          <w:sz w:val="28"/>
          <w:szCs w:val="28"/>
          <w:highlight w:val="none"/>
          <w:lang w:eastAsia="zh-CN"/>
        </w:rPr>
        <w:t>阳江市投源招标采购有限公司</w:t>
      </w:r>
    </w:p>
    <w:p w14:paraId="0A56B68A">
      <w:pPr>
        <w:pStyle w:val="27"/>
        <w:widowControl/>
        <w:shd w:val="clear"/>
        <w:adjustRightInd w:val="0"/>
        <w:snapToGrid w:val="0"/>
        <w:spacing w:line="360" w:lineRule="auto"/>
        <w:jc w:val="center"/>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二○</w:t>
      </w:r>
      <w:r>
        <w:rPr>
          <w:rFonts w:hint="eastAsia" w:ascii="宋体" w:hAnsi="宋体" w:eastAsia="宋体" w:cs="宋体"/>
          <w:b/>
          <w:bCs w:val="0"/>
          <w:color w:val="auto"/>
          <w:sz w:val="28"/>
          <w:szCs w:val="28"/>
          <w:highlight w:val="none"/>
          <w:lang w:eastAsia="zh-CN"/>
        </w:rPr>
        <w:t>二</w:t>
      </w:r>
      <w:r>
        <w:rPr>
          <w:rFonts w:hint="eastAsia" w:ascii="宋体" w:hAnsi="宋体" w:eastAsia="宋体" w:cs="宋体"/>
          <w:b/>
          <w:bCs w:val="0"/>
          <w:color w:val="auto"/>
          <w:sz w:val="28"/>
          <w:szCs w:val="28"/>
          <w:highlight w:val="none"/>
          <w:lang w:val="en-US" w:eastAsia="zh-CN"/>
        </w:rPr>
        <w:t>六</w:t>
      </w:r>
      <w:r>
        <w:rPr>
          <w:rFonts w:hint="eastAsia" w:ascii="宋体" w:hAnsi="宋体" w:eastAsia="宋体" w:cs="宋体"/>
          <w:b/>
          <w:bCs w:val="0"/>
          <w:color w:val="auto"/>
          <w:sz w:val="28"/>
          <w:szCs w:val="28"/>
          <w:highlight w:val="none"/>
        </w:rPr>
        <w:t>年</w:t>
      </w:r>
      <w:r>
        <w:rPr>
          <w:rFonts w:hint="eastAsia" w:hAnsi="宋体" w:cs="宋体"/>
          <w:b/>
          <w:bCs w:val="0"/>
          <w:color w:val="auto"/>
          <w:sz w:val="28"/>
          <w:szCs w:val="28"/>
          <w:highlight w:val="none"/>
          <w:lang w:val="en-US" w:eastAsia="zh-CN"/>
        </w:rPr>
        <w:t>十</w:t>
      </w:r>
      <w:r>
        <w:rPr>
          <w:rFonts w:hint="eastAsia" w:ascii="宋体" w:hAnsi="宋体" w:eastAsia="宋体" w:cs="宋体"/>
          <w:b/>
          <w:bCs w:val="0"/>
          <w:color w:val="auto"/>
          <w:sz w:val="28"/>
          <w:szCs w:val="28"/>
          <w:highlight w:val="none"/>
        </w:rPr>
        <w:t>月</w:t>
      </w:r>
    </w:p>
    <w:p w14:paraId="3692808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第一章投标邀请</w:t>
      </w:r>
    </w:p>
    <w:p w14:paraId="152FE80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受</w:t>
      </w:r>
      <w:r>
        <w:rPr>
          <w:rFonts w:hint="eastAsia" w:ascii="宋体" w:hAnsi="宋体" w:eastAsia="宋体" w:cs="宋体"/>
          <w:color w:val="auto"/>
          <w:sz w:val="21"/>
          <w:szCs w:val="21"/>
          <w:highlight w:val="none"/>
          <w:lang w:eastAsia="zh-CN"/>
        </w:rPr>
        <w:t>阳江市妇幼保健院</w:t>
      </w:r>
      <w:r>
        <w:rPr>
          <w:rFonts w:hint="eastAsia" w:ascii="宋体" w:hAnsi="宋体" w:eastAsia="宋体" w:cs="宋体"/>
          <w:color w:val="auto"/>
          <w:sz w:val="21"/>
          <w:szCs w:val="21"/>
          <w:highlight w:val="none"/>
        </w:rPr>
        <w:t>的委托，采用公开招标方式组织采购</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。欢迎符合资格条件的国内供应商参加投标。</w:t>
      </w:r>
    </w:p>
    <w:p w14:paraId="75D5FF0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一.项目概述</w:t>
      </w:r>
    </w:p>
    <w:p w14:paraId="29DC24E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1.名称与编号</w:t>
      </w:r>
    </w:p>
    <w:p w14:paraId="4B69312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项目名称：</w:t>
      </w:r>
      <w:r>
        <w:rPr>
          <w:rFonts w:hint="eastAsia" w:ascii="宋体" w:hAnsi="宋体" w:eastAsia="宋体" w:cs="宋体"/>
          <w:color w:val="auto"/>
          <w:sz w:val="21"/>
          <w:szCs w:val="21"/>
          <w:highlight w:val="none"/>
          <w:lang w:eastAsia="zh-CN"/>
        </w:rPr>
        <w:t>阳江市托育综合服务中心智慧托育管理平台软件与硬件项目</w:t>
      </w:r>
    </w:p>
    <w:p w14:paraId="1409E65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采购项目编号：</w:t>
      </w:r>
      <w:r>
        <w:rPr>
          <w:rFonts w:hint="eastAsia" w:ascii="宋体" w:hAnsi="宋体" w:eastAsia="宋体" w:cs="宋体"/>
          <w:color w:val="auto"/>
          <w:sz w:val="21"/>
          <w:szCs w:val="21"/>
          <w:highlight w:val="none"/>
          <w:lang w:eastAsia="zh-CN"/>
        </w:rPr>
        <w:t>YJYT20260929</w:t>
      </w:r>
    </w:p>
    <w:p w14:paraId="704EAF9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采购方式：公开招标</w:t>
      </w:r>
    </w:p>
    <w:p w14:paraId="4FBA7D7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预算金额</w:t>
      </w:r>
      <w:r>
        <w:rPr>
          <w:rFonts w:hint="eastAsia" w:ascii="宋体" w:hAnsi="宋体" w:eastAsia="宋体" w:cs="宋体"/>
          <w:b w:val="0"/>
          <w:bCs/>
          <w:color w:val="auto"/>
          <w:sz w:val="21"/>
          <w:szCs w:val="21"/>
          <w:highlight w:val="none"/>
          <w:lang w:eastAsia="zh-CN"/>
        </w:rPr>
        <w:t>：</w:t>
      </w:r>
      <w:r>
        <w:rPr>
          <w:rFonts w:hint="eastAsia" w:ascii="宋体" w:hAnsi="宋体" w:eastAsia="宋体" w:cs="宋体"/>
          <w:b w:val="0"/>
          <w:bCs/>
          <w:color w:val="auto"/>
          <w:sz w:val="21"/>
          <w:szCs w:val="21"/>
          <w:highlight w:val="none"/>
          <w:lang w:val="en-US" w:eastAsia="zh-CN"/>
        </w:rPr>
        <w:t>人民币832,212.91元，投标人报价不得超出项目采购预算。</w:t>
      </w:r>
    </w:p>
    <w:p w14:paraId="2D02960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2.项目内容及需求情况（采购项目技术规格、参数及要求）</w:t>
      </w:r>
    </w:p>
    <w:p w14:paraId="3636894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w:t>
      </w:r>
    </w:p>
    <w:p w14:paraId="1907042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采购包预算金额：</w:t>
      </w:r>
      <w:r>
        <w:rPr>
          <w:rFonts w:hint="eastAsia" w:ascii="宋体" w:hAnsi="宋体" w:eastAsia="宋体" w:cs="宋体"/>
          <w:color w:val="auto"/>
          <w:sz w:val="21"/>
          <w:szCs w:val="21"/>
          <w:highlight w:val="none"/>
          <w:lang w:val="en-US" w:eastAsia="zh-CN"/>
        </w:rPr>
        <w:t>832,212.91</w:t>
      </w:r>
      <w:r>
        <w:rPr>
          <w:rFonts w:hint="eastAsia" w:ascii="宋体" w:hAnsi="宋体" w:eastAsia="宋体" w:cs="宋体"/>
          <w:color w:val="auto"/>
          <w:sz w:val="21"/>
          <w:szCs w:val="21"/>
          <w:highlight w:val="none"/>
        </w:rPr>
        <w:t>元</w:t>
      </w:r>
    </w:p>
    <w:tbl>
      <w:tblPr>
        <w:tblStyle w:val="37"/>
        <w:tblW w:w="4641" w:type="pct"/>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81"/>
        <w:gridCol w:w="2700"/>
        <w:gridCol w:w="788"/>
        <w:gridCol w:w="2621"/>
        <w:gridCol w:w="1829"/>
      </w:tblGrid>
      <w:tr w14:paraId="4211978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67" w:hRule="atLeast"/>
        </w:trPr>
        <w:tc>
          <w:tcPr>
            <w:tcW w:w="395" w:type="pct"/>
            <w:vAlign w:val="center"/>
          </w:tcPr>
          <w:p w14:paraId="7FF0A711">
            <w:pPr>
              <w:tabs>
                <w:tab w:val="left" w:pos="8400"/>
              </w:tabs>
              <w:snapToGrid w:val="0"/>
              <w:spacing w:line="24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序号</w:t>
            </w:r>
          </w:p>
        </w:tc>
        <w:tc>
          <w:tcPr>
            <w:tcW w:w="1566" w:type="pct"/>
            <w:vAlign w:val="center"/>
          </w:tcPr>
          <w:p w14:paraId="3254824B">
            <w:pPr>
              <w:tabs>
                <w:tab w:val="left" w:pos="8400"/>
              </w:tabs>
              <w:snapToGrid w:val="0"/>
              <w:spacing w:line="240" w:lineRule="auto"/>
              <w:ind w:left="0" w:leftChars="0" w:right="0" w:rightChars="0" w:firstLine="0" w:firstLineChars="0"/>
              <w:jc w:val="center"/>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采购内容</w:t>
            </w:r>
          </w:p>
        </w:tc>
        <w:tc>
          <w:tcPr>
            <w:tcW w:w="457" w:type="pct"/>
            <w:vAlign w:val="center"/>
          </w:tcPr>
          <w:p w14:paraId="762C3C92">
            <w:pPr>
              <w:tabs>
                <w:tab w:val="left" w:pos="8400"/>
              </w:tabs>
              <w:snapToGrid w:val="0"/>
              <w:spacing w:line="24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数量</w:t>
            </w:r>
          </w:p>
        </w:tc>
        <w:tc>
          <w:tcPr>
            <w:tcW w:w="1520" w:type="pct"/>
            <w:vAlign w:val="center"/>
          </w:tcPr>
          <w:p w14:paraId="1170525C">
            <w:pPr>
              <w:tabs>
                <w:tab w:val="left" w:pos="8400"/>
              </w:tabs>
              <w:snapToGrid w:val="0"/>
              <w:spacing w:line="240" w:lineRule="auto"/>
              <w:ind w:left="0" w:leftChars="0" w:right="0" w:rightChars="0" w:firstLine="0" w:firstLineChars="0"/>
              <w:jc w:val="center"/>
              <w:rPr>
                <w:rFonts w:hint="default" w:ascii="宋体" w:hAnsi="宋体" w:eastAsia="宋体" w:cs="宋体"/>
                <w:color w:val="auto"/>
                <w:sz w:val="21"/>
                <w:szCs w:val="21"/>
                <w:highlight w:val="none"/>
                <w:lang w:val="en-US" w:eastAsia="zh-CN"/>
              </w:rPr>
            </w:pPr>
            <w:r>
              <w:rPr>
                <w:rFonts w:hint="eastAsia" w:ascii="宋体" w:hAnsi="宋体" w:cs="宋体"/>
                <w:color w:val="auto"/>
                <w:sz w:val="21"/>
                <w:szCs w:val="21"/>
                <w:highlight w:val="none"/>
                <w:lang w:val="en-US" w:eastAsia="zh-CN"/>
              </w:rPr>
              <w:t>服务期</w:t>
            </w:r>
          </w:p>
        </w:tc>
        <w:tc>
          <w:tcPr>
            <w:tcW w:w="1060" w:type="pct"/>
            <w:vAlign w:val="center"/>
          </w:tcPr>
          <w:p w14:paraId="2F3E3B03">
            <w:pPr>
              <w:tabs>
                <w:tab w:val="left" w:pos="8400"/>
              </w:tabs>
              <w:snapToGrid w:val="0"/>
              <w:spacing w:line="24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eastAsia="zh-CN"/>
              </w:rPr>
              <w:t>金额</w:t>
            </w:r>
            <w:r>
              <w:rPr>
                <w:rFonts w:hint="eastAsia" w:ascii="宋体" w:hAnsi="宋体" w:eastAsia="宋体" w:cs="宋体"/>
                <w:b/>
                <w:color w:val="auto"/>
                <w:sz w:val="21"/>
                <w:szCs w:val="21"/>
                <w:highlight w:val="none"/>
              </w:rPr>
              <w:t>（元）</w:t>
            </w:r>
          </w:p>
        </w:tc>
      </w:tr>
      <w:tr w14:paraId="0FC6033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395" w:type="pct"/>
            <w:vAlign w:val="center"/>
          </w:tcPr>
          <w:p w14:paraId="46DDC788">
            <w:pPr>
              <w:tabs>
                <w:tab w:val="left" w:pos="8400"/>
              </w:tabs>
              <w:snapToGrid w:val="0"/>
              <w:spacing w:line="36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566" w:type="pct"/>
            <w:vAlign w:val="center"/>
          </w:tcPr>
          <w:p w14:paraId="0EF672F1">
            <w:pPr>
              <w:tabs>
                <w:tab w:val="left" w:pos="8400"/>
              </w:tabs>
              <w:snapToGrid w:val="0"/>
              <w:spacing w:line="360" w:lineRule="auto"/>
              <w:ind w:left="0" w:leftChars="0" w:right="0" w:rightChars="0" w:firstLine="0" w:firstLineChars="0"/>
              <w:jc w:val="center"/>
              <w:rPr>
                <w:rFonts w:hint="eastAsia" w:ascii="宋体" w:hAnsi="宋体" w:eastAsia="宋体" w:cs="宋体"/>
                <w:color w:val="auto"/>
                <w:sz w:val="21"/>
                <w:szCs w:val="21"/>
                <w:highlight w:val="none"/>
                <w:lang w:val="en-US" w:eastAsia="zh-CN"/>
              </w:rPr>
            </w:pPr>
            <w:r>
              <w:rPr>
                <w:rFonts w:hint="eastAsia" w:cs="宋体"/>
                <w:color w:val="auto"/>
                <w:sz w:val="21"/>
                <w:szCs w:val="21"/>
                <w:highlight w:val="none"/>
                <w:lang w:eastAsia="zh-CN"/>
              </w:rPr>
              <w:t>阳江市托育综合服务中心智慧托育管理平台软件与硬件项目</w:t>
            </w:r>
          </w:p>
        </w:tc>
        <w:tc>
          <w:tcPr>
            <w:tcW w:w="457" w:type="pct"/>
            <w:vAlign w:val="center"/>
          </w:tcPr>
          <w:p w14:paraId="737DE220">
            <w:pPr>
              <w:tabs>
                <w:tab w:val="left" w:pos="8400"/>
              </w:tabs>
              <w:snapToGrid w:val="0"/>
              <w:spacing w:line="360" w:lineRule="auto"/>
              <w:ind w:left="0" w:leftChars="0" w:right="0" w:rightChars="0" w:firstLine="0" w:firstLineChars="0"/>
              <w:jc w:val="left"/>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项</w:t>
            </w:r>
          </w:p>
        </w:tc>
        <w:tc>
          <w:tcPr>
            <w:tcW w:w="1520" w:type="pct"/>
            <w:vAlign w:val="center"/>
          </w:tcPr>
          <w:p w14:paraId="7B34FF6E">
            <w:pPr>
              <w:spacing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rPr>
              <w:t>合同签订后6个月内完成交货及安装工作（交货包括设备安装、调试、试运行）。</w:t>
            </w:r>
          </w:p>
        </w:tc>
        <w:tc>
          <w:tcPr>
            <w:tcW w:w="1060" w:type="pct"/>
            <w:vAlign w:val="center"/>
          </w:tcPr>
          <w:p w14:paraId="4C8E9459">
            <w:pPr>
              <w:kinsoku w:val="0"/>
              <w:overflowPunct w:val="0"/>
              <w:autoSpaceDE w:val="0"/>
              <w:snapToGrid w:val="0"/>
              <w:spacing w:line="360" w:lineRule="auto"/>
              <w:ind w:left="0" w:leftChars="0" w:right="0" w:rightChars="0" w:firstLine="0" w:firstLineChars="0"/>
              <w:jc w:val="center"/>
              <w:rPr>
                <w:rFonts w:hint="eastAsia" w:ascii="宋体" w:hAnsi="宋体" w:eastAsia="宋体" w:cs="宋体"/>
                <w:color w:val="auto"/>
                <w:sz w:val="21"/>
                <w:szCs w:val="21"/>
                <w:highlight w:val="none"/>
              </w:rPr>
            </w:pPr>
            <w:r>
              <w:rPr>
                <w:rFonts w:hint="eastAsia" w:ascii="宋体" w:hAnsi="宋体" w:cs="宋体"/>
                <w:color w:val="auto"/>
                <w:sz w:val="21"/>
                <w:szCs w:val="21"/>
                <w:highlight w:val="none"/>
                <w:lang w:val="en-US" w:eastAsia="zh-CN"/>
              </w:rPr>
              <w:t>832,212.91</w:t>
            </w:r>
          </w:p>
        </w:tc>
      </w:tr>
    </w:tbl>
    <w:p w14:paraId="5131FAE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本采购包不接受联合体投标</w:t>
      </w:r>
    </w:p>
    <w:p w14:paraId="6510964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合同分包：不允许合同分包</w:t>
      </w:r>
    </w:p>
    <w:p w14:paraId="39E7CAD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合同履行期限：</w:t>
      </w:r>
      <w:r>
        <w:rPr>
          <w:rFonts w:hint="eastAsia" w:ascii="宋体" w:hAnsi="宋体" w:eastAsia="宋体" w:cs="宋体"/>
          <w:color w:val="auto"/>
          <w:sz w:val="21"/>
          <w:szCs w:val="21"/>
          <w:highlight w:val="none"/>
          <w:lang w:val="en-US" w:eastAsia="zh-CN"/>
        </w:rPr>
        <w:t>自合同生效之日起至合同全部权利义务履行完毕、质保服务到期之日止。</w:t>
      </w:r>
    </w:p>
    <w:p w14:paraId="00B53DF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二.投标人的资格要求</w:t>
      </w:r>
    </w:p>
    <w:p w14:paraId="371D4786">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outlineLvl w:val="3"/>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1.投标人应具备《中华人民共和国政府采购法》第二十二条规定的条件，提供下列材料：</w:t>
      </w:r>
    </w:p>
    <w:p w14:paraId="0390C23F">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具有独立承担民事责任的能力：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p w14:paraId="624267E3">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2）有依法缴纳税收和社会保障资金的良好记录：提供《阳江市政府采购供应商资格信用承诺函》。</w:t>
      </w:r>
    </w:p>
    <w:p w14:paraId="397A1905">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3）具有良好的商业信誉和健全的财务会计制度：提供《阳江市政府采购供应商资格信用承诺函》。</w:t>
      </w:r>
    </w:p>
    <w:p w14:paraId="7A611B5C">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4）履行合同所必需的设备和专业技术能力：提供《阳江市政府采购供应商资格信用承诺函》。</w:t>
      </w:r>
    </w:p>
    <w:p w14:paraId="26410A20">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5）参加采购活动前3年内，在经营活动中没有重大违法记录：提供《阳江市政府采购供应商资格信用承诺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p w14:paraId="139F89B7">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2" w:firstLineChars="200"/>
        <w:textAlignment w:val="auto"/>
        <w:outlineLvl w:val="3"/>
        <w:rPr>
          <w:rFonts w:hint="eastAsia" w:ascii="宋体" w:hAnsi="宋体" w:eastAsia="宋体" w:cs="宋体"/>
          <w:b w:val="0"/>
          <w:bCs/>
          <w:color w:val="auto"/>
          <w:sz w:val="21"/>
          <w:szCs w:val="21"/>
          <w:highlight w:val="none"/>
          <w:lang w:val="en-US" w:eastAsia="zh-CN"/>
        </w:rPr>
      </w:pPr>
      <w:r>
        <w:rPr>
          <w:rFonts w:hint="eastAsia" w:ascii="宋体" w:hAnsi="宋体" w:eastAsia="宋体" w:cs="宋体"/>
          <w:b/>
          <w:color w:val="auto"/>
          <w:sz w:val="21"/>
          <w:szCs w:val="21"/>
          <w:highlight w:val="none"/>
        </w:rPr>
        <w:t>2.落实政府采购政策需满足的资格要求：</w:t>
      </w:r>
      <w:r>
        <w:rPr>
          <w:rFonts w:hint="eastAsia" w:ascii="宋体" w:hAnsi="宋体" w:eastAsia="宋体" w:cs="宋体"/>
          <w:b w:val="0"/>
          <w:bCs/>
          <w:color w:val="auto"/>
          <w:sz w:val="21"/>
          <w:szCs w:val="21"/>
          <w:highlight w:val="none"/>
          <w:lang w:val="en-US" w:eastAsia="zh-CN"/>
        </w:rPr>
        <w:t>无。</w:t>
      </w:r>
    </w:p>
    <w:p w14:paraId="1200A318">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2" w:firstLineChars="200"/>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3.本项目特定的资格要求：</w:t>
      </w:r>
    </w:p>
    <w:p w14:paraId="2DEEA13F">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1)投标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http://www.ccgp.gov.cn/）查询结果为准，如相关失信记录已失效，供应商需提供相关证明资料）。</w:t>
      </w:r>
    </w:p>
    <w:p w14:paraId="1A46F424">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2)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p w14:paraId="29E63D67">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0" w:firstLineChars="200"/>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3)本采购包不接受联合体投标。</w:t>
      </w:r>
    </w:p>
    <w:p w14:paraId="70CF43F9">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2" w:firstLineChars="200"/>
        <w:textAlignment w:val="auto"/>
        <w:rPr>
          <w:rFonts w:hint="eastAsia" w:ascii="宋体" w:hAnsi="宋体" w:eastAsia="宋体" w:cs="宋体"/>
          <w:b/>
          <w:bCs w:val="0"/>
          <w:color w:val="auto"/>
          <w:sz w:val="21"/>
          <w:szCs w:val="21"/>
          <w:highlight w:val="none"/>
          <w:lang w:val="en-US" w:eastAsia="zh-CN"/>
        </w:rPr>
      </w:pPr>
      <w:r>
        <w:rPr>
          <w:rFonts w:hint="eastAsia" w:ascii="宋体" w:hAnsi="宋体" w:eastAsia="宋体" w:cs="宋体"/>
          <w:b/>
          <w:bCs w:val="0"/>
          <w:color w:val="auto"/>
          <w:sz w:val="21"/>
          <w:szCs w:val="21"/>
          <w:highlight w:val="none"/>
          <w:lang w:val="en-US" w:eastAsia="zh-CN"/>
        </w:rPr>
        <w:t>4.投标人须在招标代理机构登记并购买招标文件。</w:t>
      </w:r>
    </w:p>
    <w:p w14:paraId="19F9AB3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三.购买招标文件的时间、地点、方式及招标文件售价</w:t>
      </w:r>
    </w:p>
    <w:p w14:paraId="6A1DEC4C">
      <w:pPr>
        <w:widowControl/>
        <w:shd w:val="clear"/>
        <w:tabs>
          <w:tab w:val="left" w:pos="0"/>
        </w:tabs>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1.购买招标文件</w:t>
      </w:r>
      <w:r>
        <w:rPr>
          <w:rFonts w:hint="eastAsia" w:ascii="宋体" w:hAnsi="宋体" w:eastAsia="宋体" w:cs="宋体"/>
          <w:bCs/>
          <w:color w:val="auto"/>
          <w:sz w:val="21"/>
          <w:szCs w:val="21"/>
          <w:highlight w:val="none"/>
        </w:rPr>
        <w:t>时间：</w:t>
      </w:r>
      <w:r>
        <w:rPr>
          <w:rFonts w:hint="eastAsia" w:ascii="宋体" w:hAnsi="宋体" w:eastAsia="宋体" w:cs="宋体"/>
          <w:color w:val="auto"/>
          <w:kern w:val="2"/>
          <w:sz w:val="21"/>
          <w:szCs w:val="21"/>
          <w:highlight w:val="none"/>
          <w:lang w:val="en-US" w:eastAsia="zh-CN" w:bidi="ar-SA"/>
        </w:rPr>
        <w:t>2026年</w:t>
      </w:r>
      <w:r>
        <w:rPr>
          <w:rFonts w:hint="eastAsia"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月</w:t>
      </w:r>
      <w:r>
        <w:rPr>
          <w:rFonts w:hint="eastAsia" w:cs="宋体"/>
          <w:color w:val="auto"/>
          <w:kern w:val="2"/>
          <w:sz w:val="21"/>
          <w:szCs w:val="21"/>
          <w:highlight w:val="none"/>
          <w:lang w:val="en-US" w:eastAsia="zh-CN" w:bidi="ar-SA"/>
        </w:rPr>
        <w:t>22</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color w:val="auto"/>
          <w:sz w:val="21"/>
          <w:szCs w:val="21"/>
          <w:highlight w:val="none"/>
        </w:rPr>
        <w:t>至</w:t>
      </w:r>
      <w:r>
        <w:rPr>
          <w:rFonts w:hint="eastAsia" w:ascii="宋体" w:hAnsi="宋体" w:eastAsia="宋体" w:cs="宋体"/>
          <w:color w:val="auto"/>
          <w:kern w:val="2"/>
          <w:sz w:val="21"/>
          <w:szCs w:val="21"/>
          <w:highlight w:val="none"/>
          <w:lang w:val="en-US" w:eastAsia="zh-CN" w:bidi="ar-SA"/>
        </w:rPr>
        <w:t>2026年</w:t>
      </w:r>
      <w:r>
        <w:rPr>
          <w:rFonts w:hint="eastAsia"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月</w:t>
      </w:r>
      <w:r>
        <w:rPr>
          <w:rFonts w:hint="eastAsia" w:cs="宋体"/>
          <w:color w:val="auto"/>
          <w:kern w:val="2"/>
          <w:sz w:val="21"/>
          <w:szCs w:val="21"/>
          <w:highlight w:val="none"/>
          <w:lang w:val="en-US" w:eastAsia="zh-CN" w:bidi="ar-SA"/>
        </w:rPr>
        <w:t>29</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bCs/>
          <w:color w:val="auto"/>
          <w:sz w:val="21"/>
          <w:szCs w:val="21"/>
          <w:highlight w:val="none"/>
        </w:rPr>
        <w:t>，上午9:00～12:00，下午2:30～5:30（节假日除外）（北</w:t>
      </w:r>
      <w:r>
        <w:rPr>
          <w:rFonts w:hint="eastAsia" w:ascii="宋体" w:hAnsi="宋体" w:eastAsia="宋体" w:cs="宋体"/>
          <w:color w:val="auto"/>
          <w:sz w:val="21"/>
          <w:szCs w:val="21"/>
          <w:highlight w:val="none"/>
        </w:rPr>
        <w:t>京时间）。</w:t>
      </w:r>
    </w:p>
    <w:p w14:paraId="230B8D96">
      <w:pPr>
        <w:widowControl/>
        <w:shd w:val="clear"/>
        <w:tabs>
          <w:tab w:val="left" w:pos="0"/>
        </w:tabs>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color w:val="auto"/>
          <w:sz w:val="21"/>
          <w:szCs w:val="21"/>
          <w:highlight w:val="none"/>
        </w:rPr>
        <w:t>2.购买招标文件地点：</w:t>
      </w:r>
      <w:r>
        <w:rPr>
          <w:rFonts w:hint="eastAsia" w:ascii="宋体" w:hAnsi="宋体" w:cs="宋体"/>
          <w:color w:val="auto"/>
          <w:sz w:val="21"/>
          <w:szCs w:val="21"/>
          <w:highlight w:val="none"/>
          <w:lang w:eastAsia="zh-CN"/>
        </w:rPr>
        <w:t>阳江市阳东区东城镇兴宁大道97号六楼</w:t>
      </w:r>
      <w:r>
        <w:rPr>
          <w:rFonts w:hint="eastAsia" w:ascii="宋体" w:hAnsi="宋体" w:eastAsia="宋体" w:cs="宋体"/>
          <w:color w:val="auto"/>
          <w:sz w:val="21"/>
          <w:szCs w:val="21"/>
          <w:highlight w:val="none"/>
        </w:rPr>
        <w:t>。</w:t>
      </w:r>
    </w:p>
    <w:p w14:paraId="2FD58010">
      <w:pPr>
        <w:widowControl/>
        <w:shd w:val="clear"/>
        <w:tabs>
          <w:tab w:val="left" w:pos="0"/>
        </w:tabs>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3.招标文件售价：招标文件每套人民币500元，售后不退。</w:t>
      </w:r>
    </w:p>
    <w:p w14:paraId="4E3DB227">
      <w:pPr>
        <w:widowControl/>
        <w:shd w:val="clear"/>
        <w:tabs>
          <w:tab w:val="left" w:pos="0"/>
        </w:tabs>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4.招标文件获取方式：现场发售。</w:t>
      </w:r>
    </w:p>
    <w:p w14:paraId="799FCDAC">
      <w:pPr>
        <w:widowControl/>
        <w:shd w:val="clear"/>
        <w:tabs>
          <w:tab w:val="left" w:pos="0"/>
        </w:tabs>
        <w:adjustRightInd w:val="0"/>
        <w:snapToGrid w:val="0"/>
        <w:spacing w:line="360" w:lineRule="auto"/>
        <w:ind w:left="0" w:leftChars="0" w:firstLine="420" w:firstLineChars="200"/>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5.购买招标文件必须携带</w:t>
      </w:r>
      <w:r>
        <w:rPr>
          <w:rFonts w:hint="eastAsia" w:ascii="宋体" w:hAnsi="宋体" w:eastAsia="宋体" w:cs="宋体"/>
          <w:bCs/>
          <w:color w:val="auto"/>
          <w:sz w:val="21"/>
          <w:szCs w:val="21"/>
          <w:highlight w:val="none"/>
          <w:lang w:eastAsia="zh-CN"/>
        </w:rPr>
        <w:t>，</w:t>
      </w:r>
      <w:r>
        <w:rPr>
          <w:rFonts w:hint="eastAsia" w:ascii="宋体" w:hAnsi="宋体" w:eastAsia="宋体" w:cs="宋体"/>
          <w:bCs/>
          <w:color w:val="auto"/>
          <w:sz w:val="21"/>
          <w:szCs w:val="21"/>
          <w:highlight w:val="none"/>
        </w:rPr>
        <w:t>填写完整并加盖公章的《</w:t>
      </w:r>
      <w:r>
        <w:rPr>
          <w:rFonts w:hint="eastAsia" w:ascii="宋体" w:hAnsi="宋体" w:eastAsia="宋体" w:cs="宋体"/>
          <w:bCs/>
          <w:color w:val="auto"/>
          <w:sz w:val="21"/>
          <w:szCs w:val="21"/>
          <w:highlight w:val="none"/>
          <w:lang w:eastAsia="zh-CN"/>
        </w:rPr>
        <w:t>项目登记表</w:t>
      </w:r>
      <w:r>
        <w:rPr>
          <w:rFonts w:hint="eastAsia" w:ascii="宋体" w:hAnsi="宋体" w:eastAsia="宋体" w:cs="宋体"/>
          <w:bCs/>
          <w:color w:val="auto"/>
          <w:sz w:val="21"/>
          <w:szCs w:val="21"/>
          <w:highlight w:val="none"/>
        </w:rPr>
        <w:t>》（详见本采购公告附件1）。</w:t>
      </w:r>
    </w:p>
    <w:p w14:paraId="79A39389">
      <w:pPr>
        <w:pStyle w:val="174"/>
        <w:keepNext w:val="0"/>
        <w:keepLines w:val="0"/>
        <w:pageBreakBefore w:val="0"/>
        <w:shd w:val="clear"/>
        <w:kinsoku/>
        <w:wordWrap/>
        <w:overflowPunct/>
        <w:topLinePunct w:val="0"/>
        <w:autoSpaceDE/>
        <w:autoSpaceDN/>
        <w:bidi w:val="0"/>
        <w:adjustRightInd/>
        <w:snapToGrid/>
        <w:spacing w:line="360" w:lineRule="auto"/>
        <w:ind w:left="0" w:leftChars="0" w:firstLine="422" w:firstLineChars="200"/>
        <w:textAlignment w:val="auto"/>
        <w:outlineLvl w:val="2"/>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注：本项目采用资格后审，报名时采购代理机构不对供应商资格进行审查，供应商资格是否合格，最终以评标委员会评审结论为准。</w:t>
      </w:r>
    </w:p>
    <w:p w14:paraId="30D39CC8">
      <w:pPr>
        <w:pStyle w:val="174"/>
        <w:keepNext w:val="0"/>
        <w:keepLines w:val="0"/>
        <w:pageBreakBefore w:val="0"/>
        <w:shd w:val="clear"/>
        <w:kinsoku/>
        <w:wordWrap/>
        <w:overflowPunct/>
        <w:topLinePunct w:val="0"/>
        <w:autoSpaceDE/>
        <w:autoSpaceDN/>
        <w:bidi w:val="0"/>
        <w:adjustRightInd/>
        <w:snapToGrid/>
        <w:spacing w:line="360" w:lineRule="auto"/>
        <w:ind w:left="0" w:leftChars="0" w:firstLine="0" w:firstLineChars="0"/>
        <w:textAlignment w:val="auto"/>
        <w:outlineLvl w:val="2"/>
        <w:rPr>
          <w:rFonts w:hint="eastAsia" w:ascii="宋体" w:hAnsi="宋体" w:eastAsia="宋体" w:cs="宋体"/>
          <w:b/>
          <w:color w:val="auto"/>
          <w:sz w:val="21"/>
          <w:szCs w:val="21"/>
          <w:highlight w:val="none"/>
        </w:rPr>
      </w:pPr>
      <w:r>
        <w:rPr>
          <w:rFonts w:hint="eastAsia" w:ascii="宋体" w:hAnsi="宋体" w:eastAsia="宋体" w:cs="宋体"/>
          <w:b/>
          <w:color w:val="auto"/>
          <w:sz w:val="21"/>
          <w:szCs w:val="21"/>
          <w:highlight w:val="none"/>
        </w:rPr>
        <w:t>四.招标文件的公示</w:t>
      </w:r>
    </w:p>
    <w:p w14:paraId="2077A147">
      <w:pPr>
        <w:shd w:val="clear"/>
        <w:spacing w:line="360" w:lineRule="auto"/>
        <w:ind w:firstLine="420" w:firstLineChars="200"/>
        <w:rPr>
          <w:rFonts w:hint="eastAsia" w:ascii="宋体" w:hAnsi="宋体" w:eastAsia="宋体" w:cs="宋体"/>
          <w:bCs/>
          <w:color w:val="auto"/>
          <w:sz w:val="21"/>
          <w:szCs w:val="21"/>
          <w:highlight w:val="none"/>
        </w:rPr>
      </w:pPr>
      <w:r>
        <w:rPr>
          <w:rFonts w:hint="eastAsia" w:cs="宋体"/>
          <w:color w:val="auto"/>
          <w:sz w:val="21"/>
          <w:szCs w:val="21"/>
          <w:highlight w:val="none"/>
          <w:lang w:val="en-US" w:eastAsia="zh-CN"/>
        </w:rPr>
        <w:t>6.</w:t>
      </w:r>
      <w:r>
        <w:rPr>
          <w:rFonts w:hint="eastAsia" w:ascii="宋体" w:hAnsi="宋体" w:eastAsia="宋体" w:cs="宋体"/>
          <w:color w:val="auto"/>
          <w:sz w:val="21"/>
          <w:szCs w:val="21"/>
          <w:highlight w:val="none"/>
        </w:rPr>
        <w:t>招标文件公示时</w:t>
      </w:r>
      <w:r>
        <w:rPr>
          <w:rFonts w:hint="eastAsia" w:ascii="宋体" w:hAnsi="宋体" w:eastAsia="宋体" w:cs="宋体"/>
          <w:bCs/>
          <w:color w:val="auto"/>
          <w:sz w:val="21"/>
          <w:szCs w:val="21"/>
          <w:highlight w:val="none"/>
        </w:rPr>
        <w:t>间：</w:t>
      </w:r>
      <w:sdt>
        <w:sdtPr>
          <w:rPr>
            <w:rFonts w:hint="eastAsia" w:ascii="宋体" w:hAnsi="宋体" w:eastAsia="宋体" w:cs="宋体"/>
            <w:color w:val="auto"/>
            <w:sz w:val="21"/>
            <w:szCs w:val="21"/>
            <w:highlight w:val="none"/>
          </w:rPr>
          <w:id w:val="147471443"/>
          <w:lock w:val="sdtLocked"/>
          <w:placeholder>
            <w:docPart w:val="{9faf50bc-0ce7-4505-bffb-0188b0f9271e}"/>
          </w:placeholder>
          <w:date w:fullDate="2026-08-13T00:00:00Z">
            <w:dateFormat w:val="yyyy'年'M'月'd'日'"/>
            <w:lid w:val="zh-CN"/>
            <w:storeMappedDataAs w:val="datetime"/>
            <w:calendar w:val="gregorian"/>
          </w:date>
        </w:sdtPr>
        <w:sdtEndPr>
          <w:rPr>
            <w:rFonts w:hint="eastAsia" w:ascii="宋体" w:hAnsi="宋体" w:eastAsia="宋体" w:cs="宋体"/>
            <w:color w:val="auto"/>
            <w:sz w:val="21"/>
            <w:szCs w:val="21"/>
            <w:highlight w:val="none"/>
          </w:rPr>
        </w:sdtEndPr>
        <w:sdtContent>
          <w:r>
            <w:rPr>
              <w:rFonts w:hint="eastAsia" w:ascii="宋体" w:hAnsi="宋体" w:eastAsia="宋体" w:cs="宋体"/>
              <w:color w:val="auto"/>
              <w:kern w:val="2"/>
              <w:sz w:val="21"/>
              <w:szCs w:val="21"/>
              <w:highlight w:val="none"/>
              <w:lang w:val="en-US" w:eastAsia="zh-CN" w:bidi="ar-SA"/>
            </w:rPr>
            <w:t>2026年</w:t>
          </w:r>
          <w:r>
            <w:rPr>
              <w:rFonts w:hint="eastAsia" w:cs="宋体"/>
              <w:color w:val="auto"/>
              <w:kern w:val="2"/>
              <w:sz w:val="21"/>
              <w:szCs w:val="21"/>
              <w:highlight w:val="none"/>
              <w:lang w:val="en-US" w:eastAsia="zh-CN" w:bidi="ar-SA"/>
            </w:rPr>
            <w:t>10</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cs="宋体"/>
              <w:color w:val="auto"/>
              <w:kern w:val="2"/>
              <w:sz w:val="21"/>
              <w:szCs w:val="21"/>
              <w:highlight w:val="none"/>
              <w:lang w:val="en-US" w:eastAsia="zh-CN" w:bidi="ar-SA"/>
            </w:rPr>
            <w:t>22</w:t>
          </w:r>
          <w:r>
            <w:rPr>
              <w:rFonts w:hint="eastAsia" w:ascii="宋体" w:hAnsi="宋体" w:eastAsia="宋体" w:cs="宋体"/>
              <w:color w:val="auto"/>
              <w:kern w:val="2"/>
              <w:sz w:val="21"/>
              <w:szCs w:val="21"/>
              <w:highlight w:val="none"/>
              <w:lang w:val="en-US" w:eastAsia="zh-CN" w:bidi="ar-SA"/>
            </w:rPr>
            <w:t>日</w:t>
          </w:r>
        </w:sdtContent>
      </w:sdt>
      <w:r>
        <w:rPr>
          <w:rFonts w:hint="eastAsia" w:ascii="宋体" w:hAnsi="宋体" w:eastAsia="宋体" w:cs="宋体"/>
          <w:color w:val="auto"/>
          <w:sz w:val="21"/>
          <w:szCs w:val="21"/>
          <w:highlight w:val="none"/>
        </w:rPr>
        <w:t>至</w:t>
      </w:r>
      <w:r>
        <w:rPr>
          <w:rFonts w:hint="eastAsia" w:ascii="宋体" w:hAnsi="宋体" w:eastAsia="宋体" w:cs="宋体"/>
          <w:color w:val="auto"/>
          <w:kern w:val="2"/>
          <w:sz w:val="21"/>
          <w:szCs w:val="21"/>
          <w:highlight w:val="none"/>
          <w:lang w:val="en-US" w:eastAsia="zh-CN" w:bidi="ar-SA"/>
        </w:rPr>
        <w:t>2026年</w:t>
      </w:r>
      <w:r>
        <w:rPr>
          <w:rFonts w:hint="eastAsia" w:cs="宋体"/>
          <w:color w:val="auto"/>
          <w:kern w:val="2"/>
          <w:sz w:val="21"/>
          <w:szCs w:val="21"/>
          <w:highlight w:val="none"/>
          <w:lang w:val="en-US" w:eastAsia="zh-CN" w:bidi="ar-SA"/>
        </w:rPr>
        <w:t>10</w:t>
      </w:r>
      <w:r>
        <w:rPr>
          <w:rFonts w:hint="eastAsia" w:ascii="宋体" w:hAnsi="宋体" w:cs="宋体"/>
          <w:color w:val="auto"/>
          <w:kern w:val="2"/>
          <w:sz w:val="21"/>
          <w:szCs w:val="21"/>
          <w:highlight w:val="none"/>
          <w:lang w:val="en-US" w:eastAsia="zh-CN" w:bidi="ar-SA"/>
        </w:rPr>
        <w:t xml:space="preserve"> </w:t>
      </w:r>
      <w:r>
        <w:rPr>
          <w:rFonts w:hint="eastAsia" w:ascii="宋体" w:hAnsi="宋体" w:eastAsia="宋体" w:cs="宋体"/>
          <w:color w:val="auto"/>
          <w:kern w:val="2"/>
          <w:sz w:val="21"/>
          <w:szCs w:val="21"/>
          <w:highlight w:val="none"/>
          <w:lang w:val="en-US" w:eastAsia="zh-CN" w:bidi="ar-SA"/>
        </w:rPr>
        <w:t>月</w:t>
      </w:r>
      <w:r>
        <w:rPr>
          <w:rFonts w:hint="eastAsia" w:cs="宋体"/>
          <w:color w:val="auto"/>
          <w:kern w:val="2"/>
          <w:sz w:val="21"/>
          <w:szCs w:val="21"/>
          <w:highlight w:val="none"/>
          <w:lang w:val="en-US" w:eastAsia="zh-CN" w:bidi="ar-SA"/>
        </w:rPr>
        <w:t>29</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bCs/>
          <w:color w:val="auto"/>
          <w:sz w:val="21"/>
          <w:szCs w:val="21"/>
          <w:highlight w:val="none"/>
        </w:rPr>
        <w:t>。</w:t>
      </w:r>
    </w:p>
    <w:p w14:paraId="49CB354B">
      <w:pPr>
        <w:widowControl/>
        <w:shd w:val="clear"/>
        <w:adjustRightInd w:val="0"/>
        <w:snapToGrid w:val="0"/>
        <w:spacing w:line="360" w:lineRule="auto"/>
        <w:ind w:left="0" w:leftChars="0" w:firstLine="0" w:firstLineChars="0"/>
        <w:rPr>
          <w:rFonts w:hint="eastAsia" w:ascii="宋体" w:hAnsi="宋体" w:eastAsia="宋体" w:cs="宋体"/>
          <w:b/>
          <w:bCs/>
          <w:color w:val="auto"/>
          <w:sz w:val="21"/>
          <w:szCs w:val="21"/>
          <w:highlight w:val="none"/>
        </w:rPr>
      </w:pPr>
      <w:r>
        <w:rPr>
          <w:rFonts w:hint="eastAsia" w:ascii="宋体" w:hAnsi="宋体" w:eastAsia="宋体" w:cs="宋体"/>
          <w:b/>
          <w:color w:val="auto"/>
          <w:sz w:val="21"/>
          <w:szCs w:val="21"/>
          <w:highlight w:val="none"/>
        </w:rPr>
        <w:t>五.</w:t>
      </w:r>
      <w:r>
        <w:rPr>
          <w:rFonts w:hint="eastAsia" w:ascii="宋体" w:hAnsi="宋体" w:eastAsia="宋体" w:cs="宋体"/>
          <w:b/>
          <w:bCs/>
          <w:color w:val="auto"/>
          <w:sz w:val="21"/>
          <w:szCs w:val="21"/>
          <w:highlight w:val="none"/>
        </w:rPr>
        <w:t>投标截止时间、开标时间及地点</w:t>
      </w:r>
    </w:p>
    <w:p w14:paraId="6F8CBAE3">
      <w:pPr>
        <w:widowControl/>
        <w:shd w:val="clear"/>
        <w:tabs>
          <w:tab w:val="left" w:pos="735"/>
        </w:tabs>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1.递交投标文件时间：</w:t>
      </w:r>
      <w:r>
        <w:rPr>
          <w:rFonts w:hint="eastAsia" w:ascii="宋体" w:hAnsi="宋体" w:eastAsia="宋体" w:cs="宋体"/>
          <w:color w:val="auto"/>
          <w:kern w:val="2"/>
          <w:sz w:val="21"/>
          <w:szCs w:val="21"/>
          <w:highlight w:val="none"/>
          <w:lang w:val="en-US" w:eastAsia="zh-CN" w:bidi="ar-SA"/>
        </w:rPr>
        <w:t>2026年</w:t>
      </w:r>
      <w:r>
        <w:rPr>
          <w:rFonts w:hint="eastAsia" w:cs="宋体"/>
          <w:color w:val="auto"/>
          <w:kern w:val="2"/>
          <w:sz w:val="21"/>
          <w:szCs w:val="21"/>
          <w:highlight w:val="none"/>
          <w:lang w:val="en-US" w:eastAsia="zh-CN" w:bidi="ar-SA"/>
        </w:rPr>
        <w:t>11</w:t>
      </w:r>
      <w:r>
        <w:rPr>
          <w:rFonts w:hint="eastAsia" w:ascii="宋体" w:hAnsi="宋体" w:eastAsia="宋体" w:cs="宋体"/>
          <w:color w:val="auto"/>
          <w:kern w:val="2"/>
          <w:sz w:val="21"/>
          <w:szCs w:val="21"/>
          <w:highlight w:val="none"/>
          <w:lang w:val="en-US" w:eastAsia="zh-CN" w:bidi="ar-SA"/>
        </w:rPr>
        <w:t>月</w:t>
      </w:r>
      <w:r>
        <w:rPr>
          <w:rFonts w:hint="eastAsia" w:cs="宋体"/>
          <w:color w:val="auto"/>
          <w:kern w:val="2"/>
          <w:sz w:val="21"/>
          <w:szCs w:val="21"/>
          <w:highlight w:val="none"/>
          <w:lang w:val="en-US" w:eastAsia="zh-CN" w:bidi="ar-SA"/>
        </w:rPr>
        <w:t>19</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color w:val="auto"/>
          <w:sz w:val="21"/>
          <w:szCs w:val="21"/>
          <w:highlight w:val="none"/>
        </w:rPr>
        <w:t>9:00-9:30(北京时间)。</w:t>
      </w:r>
    </w:p>
    <w:p w14:paraId="049D818B">
      <w:pPr>
        <w:widowControl/>
        <w:shd w:val="clear"/>
        <w:tabs>
          <w:tab w:val="left" w:pos="735"/>
        </w:tabs>
        <w:adjustRightInd w:val="0"/>
        <w:snapToGrid w:val="0"/>
        <w:spacing w:line="360" w:lineRule="auto"/>
        <w:ind w:left="0" w:leftChars="0" w:firstLine="420" w:firstLineChars="200"/>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2.投标截止时间、开标时间：</w:t>
      </w:r>
      <w:r>
        <w:rPr>
          <w:rFonts w:hint="eastAsia" w:ascii="宋体" w:hAnsi="宋体" w:eastAsia="宋体" w:cs="宋体"/>
          <w:color w:val="auto"/>
          <w:kern w:val="2"/>
          <w:sz w:val="21"/>
          <w:szCs w:val="21"/>
          <w:highlight w:val="none"/>
          <w:lang w:val="en-US" w:eastAsia="zh-CN" w:bidi="ar-SA"/>
        </w:rPr>
        <w:t>2026年</w:t>
      </w:r>
      <w:r>
        <w:rPr>
          <w:rFonts w:hint="eastAsia" w:cs="宋体"/>
          <w:color w:val="auto"/>
          <w:kern w:val="2"/>
          <w:sz w:val="21"/>
          <w:szCs w:val="21"/>
          <w:highlight w:val="none"/>
          <w:lang w:val="en-US" w:eastAsia="zh-CN" w:bidi="ar-SA"/>
        </w:rPr>
        <w:t>11</w:t>
      </w:r>
      <w:r>
        <w:rPr>
          <w:rFonts w:hint="eastAsia" w:ascii="宋体" w:hAnsi="宋体" w:eastAsia="宋体" w:cs="宋体"/>
          <w:color w:val="auto"/>
          <w:kern w:val="2"/>
          <w:sz w:val="21"/>
          <w:szCs w:val="21"/>
          <w:highlight w:val="none"/>
          <w:lang w:val="en-US" w:eastAsia="zh-CN" w:bidi="ar-SA"/>
        </w:rPr>
        <w:t>月</w:t>
      </w:r>
      <w:r>
        <w:rPr>
          <w:rFonts w:hint="eastAsia" w:cs="宋体"/>
          <w:color w:val="auto"/>
          <w:kern w:val="2"/>
          <w:sz w:val="21"/>
          <w:szCs w:val="21"/>
          <w:highlight w:val="none"/>
          <w:lang w:val="en-US" w:eastAsia="zh-CN" w:bidi="ar-SA"/>
        </w:rPr>
        <w:t>19</w:t>
      </w:r>
      <w:r>
        <w:rPr>
          <w:rFonts w:hint="eastAsia" w:ascii="宋体" w:hAnsi="宋体" w:eastAsia="宋体" w:cs="宋体"/>
          <w:color w:val="auto"/>
          <w:kern w:val="2"/>
          <w:sz w:val="21"/>
          <w:szCs w:val="21"/>
          <w:highlight w:val="none"/>
          <w:lang w:val="en-US" w:eastAsia="zh-CN" w:bidi="ar-SA"/>
        </w:rPr>
        <w:t>日</w:t>
      </w:r>
      <w:r>
        <w:rPr>
          <w:rFonts w:hint="eastAsia" w:ascii="宋体" w:hAnsi="宋体" w:eastAsia="宋体" w:cs="宋体"/>
          <w:color w:val="auto"/>
          <w:sz w:val="21"/>
          <w:szCs w:val="21"/>
          <w:highlight w:val="none"/>
        </w:rPr>
        <w:t>9:30(北京时间)。</w:t>
      </w:r>
    </w:p>
    <w:p w14:paraId="60AE4828">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kern w:val="2"/>
          <w:sz w:val="21"/>
          <w:szCs w:val="21"/>
          <w:highlight w:val="none"/>
          <w:lang w:val="en-US" w:eastAsia="zh-CN" w:bidi="ar-SA"/>
        </w:rPr>
        <w:t>3.递交投标文件地点、开标地点：阳江市阳东区东城镇兴宁大道97号六楼开标室</w:t>
      </w:r>
    </w:p>
    <w:p w14:paraId="6CF3A8C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六.本项目联系方式：</w:t>
      </w:r>
    </w:p>
    <w:p w14:paraId="658504FC">
      <w:pPr>
        <w:pStyle w:val="174"/>
        <w:keepNext w:val="0"/>
        <w:keepLines w:val="0"/>
        <w:pageBreakBefore w:val="0"/>
        <w:shd w:val="clear"/>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1.采购人信息</w:t>
      </w:r>
    </w:p>
    <w:p w14:paraId="4AE66F99">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阳江市妇幼保健院</w:t>
      </w:r>
    </w:p>
    <w:p w14:paraId="0FED1C60">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地址：阳江市江城区富康路 126 号（阳江市妇幼保健院内）</w:t>
      </w:r>
    </w:p>
    <w:p w14:paraId="373F1540">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default"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eastAsia="zh-CN"/>
        </w:rPr>
        <w:t>联系人：蔡工</w:t>
      </w:r>
    </w:p>
    <w:p w14:paraId="4D31BFF6">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hd w:val="clear"/>
        <w:spacing w:before="0" w:beforeAutospacing="0" w:after="0" w:afterAutospacing="0" w:line="360" w:lineRule="auto"/>
        <w:ind w:right="0" w:rightChars="0" w:firstLine="420" w:firstLineChars="200"/>
        <w:rPr>
          <w:rFonts w:hint="default"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联系方式：0662-8899566</w:t>
      </w:r>
    </w:p>
    <w:p w14:paraId="4B4B8A55">
      <w:pPr>
        <w:pStyle w:val="174"/>
        <w:keepNext w:val="0"/>
        <w:keepLines w:val="0"/>
        <w:pageBreakBefore w:val="0"/>
        <w:shd w:val="clear"/>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2.采购代理机构信息</w:t>
      </w:r>
    </w:p>
    <w:p w14:paraId="4BDFF416">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名称：</w:t>
      </w:r>
      <w:r>
        <w:rPr>
          <w:rFonts w:hint="eastAsia" w:ascii="宋体" w:hAnsi="宋体" w:eastAsia="宋体" w:cs="宋体"/>
          <w:color w:val="auto"/>
          <w:sz w:val="21"/>
          <w:szCs w:val="21"/>
          <w:highlight w:val="none"/>
          <w:lang w:eastAsia="zh-CN"/>
        </w:rPr>
        <w:t>阳江市投源招标采购有限公司</w:t>
      </w:r>
    </w:p>
    <w:p w14:paraId="41EB99AF">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地址：</w:t>
      </w:r>
      <w:r>
        <w:rPr>
          <w:rFonts w:hint="eastAsia" w:ascii="宋体" w:hAnsi="宋体" w:eastAsia="宋体" w:cs="宋体"/>
          <w:color w:val="auto"/>
          <w:sz w:val="21"/>
          <w:szCs w:val="21"/>
          <w:highlight w:val="none"/>
          <w:lang w:eastAsia="zh-CN"/>
        </w:rPr>
        <w:t>阳江市阳东区东城镇兴宁大道97号六楼</w:t>
      </w:r>
    </w:p>
    <w:p w14:paraId="650C53F9">
      <w:pPr>
        <w:pStyle w:val="174"/>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联系方式：</w:t>
      </w:r>
      <w:r>
        <w:rPr>
          <w:rFonts w:hint="eastAsia" w:eastAsia="宋体"/>
          <w:color w:val="auto"/>
          <w:sz w:val="21"/>
          <w:szCs w:val="21"/>
          <w:lang w:eastAsia="zh-CN"/>
        </w:rPr>
        <w:t>18023863877</w:t>
      </w:r>
    </w:p>
    <w:p w14:paraId="768DAE36">
      <w:pPr>
        <w:shd w:val="clear"/>
        <w:spacing w:line="240" w:lineRule="auto"/>
        <w:ind w:firstLine="420" w:firstLineChars="200"/>
        <w:jc w:val="left"/>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开户名称：</w:t>
      </w:r>
      <w:r>
        <w:rPr>
          <w:rFonts w:hint="eastAsia" w:ascii="宋体" w:hAnsi="宋体" w:cs="宋体"/>
          <w:color w:val="auto"/>
          <w:sz w:val="21"/>
          <w:szCs w:val="21"/>
          <w:highlight w:val="none"/>
          <w:lang w:val="en-US" w:eastAsia="zh-CN"/>
        </w:rPr>
        <w:t>阳江市投源招标采购有限公司</w:t>
      </w:r>
    </w:p>
    <w:p w14:paraId="71B1AE1D">
      <w:pPr>
        <w:shd w:val="clear"/>
        <w:spacing w:line="240" w:lineRule="auto"/>
        <w:ind w:firstLine="420" w:firstLineChars="20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开户银行：广发股份有限公司阳江滨海支行  </w:t>
      </w:r>
    </w:p>
    <w:p w14:paraId="2CE7CA6F">
      <w:pPr>
        <w:shd w:val="clear"/>
        <w:spacing w:line="240" w:lineRule="auto"/>
        <w:ind w:firstLine="420" w:firstLineChars="200"/>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银行帐号：9550880223387800158</w:t>
      </w:r>
    </w:p>
    <w:p w14:paraId="76046C89">
      <w:pPr>
        <w:pStyle w:val="174"/>
        <w:keepNext w:val="0"/>
        <w:keepLines w:val="0"/>
        <w:pageBreakBefore w:val="0"/>
        <w:shd w:val="clear"/>
        <w:kinsoku/>
        <w:wordWrap/>
        <w:overflowPunct/>
        <w:topLinePunct w:val="0"/>
        <w:autoSpaceDE/>
        <w:autoSpaceDN/>
        <w:bidi w:val="0"/>
        <w:adjustRightInd/>
        <w:snapToGrid/>
        <w:spacing w:line="24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银行行号：306599000011</w:t>
      </w:r>
    </w:p>
    <w:p w14:paraId="0CE20DB8">
      <w:pPr>
        <w:pStyle w:val="174"/>
        <w:keepNext w:val="0"/>
        <w:keepLines w:val="0"/>
        <w:pageBreakBefore w:val="0"/>
        <w:shd w:val="clear"/>
        <w:kinsoku/>
        <w:wordWrap/>
        <w:overflowPunct/>
        <w:topLinePunct w:val="0"/>
        <w:autoSpaceDE/>
        <w:autoSpaceDN/>
        <w:bidi w:val="0"/>
        <w:adjustRightInd/>
        <w:snapToGrid/>
        <w:spacing w:line="240" w:lineRule="auto"/>
        <w:ind w:left="420" w:leftChars="200" w:firstLine="0" w:firstLineChars="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汇款备注要求</w:t>
      </w:r>
      <w:r>
        <w:rPr>
          <w:rFonts w:hint="eastAsia" w:ascii="宋体" w:hAnsi="宋体" w:eastAsia="宋体" w:cs="宋体"/>
          <w:color w:val="auto"/>
          <w:sz w:val="21"/>
          <w:szCs w:val="21"/>
          <w:highlight w:val="none"/>
          <w:lang w:val="en-US" w:eastAsia="zh-CN"/>
        </w:rPr>
        <w:t>：投标人对公转账购买招标文件时，请备注【项目编号 + 标书费】；招标文件费用一经售出，不予退还。</w:t>
      </w:r>
    </w:p>
    <w:p w14:paraId="6F2068F5">
      <w:pPr>
        <w:pStyle w:val="174"/>
        <w:keepNext w:val="0"/>
        <w:keepLines w:val="0"/>
        <w:pageBreakBefore w:val="0"/>
        <w:shd w:val="clear"/>
        <w:kinsoku/>
        <w:wordWrap/>
        <w:overflowPunct/>
        <w:topLinePunct w:val="0"/>
        <w:autoSpaceDE/>
        <w:autoSpaceDN/>
        <w:bidi w:val="0"/>
        <w:adjustRightInd/>
        <w:snapToGrid/>
        <w:spacing w:line="360" w:lineRule="auto"/>
        <w:ind w:firstLine="422" w:firstLineChars="200"/>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3.项目联系方式</w:t>
      </w:r>
    </w:p>
    <w:p w14:paraId="748D36B9">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项目联系人：</w:t>
      </w:r>
      <w:r>
        <w:rPr>
          <w:rFonts w:hint="eastAsia" w:ascii="宋体" w:hAnsi="宋体" w:eastAsia="宋体" w:cs="宋体"/>
          <w:color w:val="auto"/>
          <w:sz w:val="21"/>
          <w:szCs w:val="21"/>
          <w:highlight w:val="none"/>
          <w:lang w:val="en-US" w:eastAsia="zh-CN"/>
        </w:rPr>
        <w:t>胡工</w:t>
      </w:r>
    </w:p>
    <w:p w14:paraId="194179D1">
      <w:pPr>
        <w:pStyle w:val="174"/>
        <w:ind w:firstLine="480"/>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电话</w:t>
      </w:r>
      <w:r>
        <w:rPr>
          <w:rFonts w:hint="eastAsia" w:ascii="宋体" w:hAnsi="宋体" w:eastAsia="宋体" w:cs="宋体"/>
          <w:color w:val="auto"/>
          <w:sz w:val="21"/>
          <w:szCs w:val="21"/>
          <w:highlight w:val="none"/>
          <w:lang w:eastAsia="zh-CN"/>
        </w:rPr>
        <w:t>：</w:t>
      </w:r>
      <w:bookmarkStart w:id="73" w:name="_GoBack"/>
      <w:bookmarkEnd w:id="73"/>
      <w:r>
        <w:rPr>
          <w:rFonts w:hint="eastAsia" w:eastAsia="宋体"/>
          <w:color w:val="auto"/>
          <w:sz w:val="21"/>
          <w:szCs w:val="21"/>
          <w:lang w:eastAsia="zh-CN"/>
        </w:rPr>
        <w:t>18023863877</w:t>
      </w:r>
    </w:p>
    <w:p w14:paraId="3B97AEE5">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lang w:val="en-US" w:eastAsia="zh-CN"/>
        </w:rPr>
      </w:pPr>
    </w:p>
    <w:p w14:paraId="708703E7">
      <w:pPr>
        <w:shd w:val="clear"/>
        <w:jc w:val="right"/>
        <w:rPr>
          <w:rFonts w:hint="eastAsia" w:ascii="宋体" w:hAnsi="宋体" w:eastAsia="宋体" w:cs="宋体"/>
          <w:color w:val="auto"/>
          <w:sz w:val="21"/>
          <w:szCs w:val="21"/>
          <w:highlight w:val="none"/>
          <w:lang w:eastAsia="zh-CN"/>
        </w:rPr>
      </w:pPr>
      <w:r>
        <w:rPr>
          <w:rFonts w:hint="eastAsia" w:ascii="宋体" w:hAnsi="宋体" w:cs="宋体"/>
          <w:color w:val="auto"/>
          <w:sz w:val="21"/>
          <w:szCs w:val="21"/>
          <w:highlight w:val="none"/>
          <w:lang w:eastAsia="zh-CN"/>
        </w:rPr>
        <w:t>阳江市投源招标采购有限公司</w:t>
      </w:r>
    </w:p>
    <w:p w14:paraId="68986933">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r>
        <w:rPr>
          <w:rFonts w:hint="eastAsia" w:ascii="宋体" w:hAnsi="宋体" w:eastAsia="宋体" w:cs="宋体"/>
          <w:color w:val="auto"/>
          <w:sz w:val="21"/>
          <w:szCs w:val="21"/>
          <w:highlight w:val="none"/>
          <w:lang w:val="en-US" w:eastAsia="zh-CN"/>
        </w:rPr>
        <w:t>2026</w:t>
      </w:r>
      <w:r>
        <w:rPr>
          <w:rFonts w:hint="eastAsia" w:ascii="宋体" w:hAnsi="宋体" w:eastAsia="宋体" w:cs="宋体"/>
          <w:color w:val="auto"/>
          <w:kern w:val="2"/>
          <w:sz w:val="21"/>
          <w:szCs w:val="21"/>
          <w:highlight w:val="none"/>
          <w:lang w:val="en-US" w:eastAsia="zh-CN" w:bidi="ar-SA"/>
        </w:rPr>
        <w:t>年</w:t>
      </w:r>
      <w:r>
        <w:rPr>
          <w:rFonts w:hint="eastAsia" w:ascii="宋体" w:hAnsi="宋体" w:cs="宋体"/>
          <w:color w:val="auto"/>
          <w:kern w:val="2"/>
          <w:sz w:val="21"/>
          <w:szCs w:val="21"/>
          <w:highlight w:val="none"/>
          <w:lang w:val="en-US" w:eastAsia="zh-CN" w:bidi="ar-SA"/>
        </w:rPr>
        <w:t>10</w:t>
      </w:r>
      <w:r>
        <w:rPr>
          <w:rFonts w:hint="eastAsia" w:ascii="宋体" w:hAnsi="宋体" w:eastAsia="宋体" w:cs="宋体"/>
          <w:color w:val="auto"/>
          <w:kern w:val="2"/>
          <w:sz w:val="21"/>
          <w:szCs w:val="21"/>
          <w:highlight w:val="none"/>
          <w:lang w:val="en-US" w:eastAsia="zh-CN" w:bidi="ar-SA"/>
        </w:rPr>
        <w:t>月</w:t>
      </w:r>
      <w:r>
        <w:rPr>
          <w:rFonts w:hint="eastAsia" w:ascii="宋体" w:hAnsi="宋体" w:cs="宋体"/>
          <w:color w:val="auto"/>
          <w:kern w:val="2"/>
          <w:sz w:val="21"/>
          <w:szCs w:val="21"/>
          <w:highlight w:val="none"/>
          <w:lang w:val="en-US" w:eastAsia="zh-CN" w:bidi="ar-SA"/>
        </w:rPr>
        <w:t>22</w:t>
      </w:r>
      <w:r>
        <w:rPr>
          <w:rFonts w:hint="eastAsia" w:ascii="宋体" w:hAnsi="宋体" w:eastAsia="宋体" w:cs="宋体"/>
          <w:color w:val="auto"/>
          <w:kern w:val="2"/>
          <w:sz w:val="21"/>
          <w:szCs w:val="21"/>
          <w:highlight w:val="none"/>
          <w:lang w:val="en-US" w:eastAsia="zh-CN" w:bidi="ar-SA"/>
        </w:rPr>
        <w:t>日</w:t>
      </w:r>
    </w:p>
    <w:p w14:paraId="317F69CD">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2B727FB1">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2F2AD268">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78B55A31">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41D2878B">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33E73962">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4EE62DBB">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65854312">
      <w:pPr>
        <w:pStyle w:val="174"/>
        <w:keepNext w:val="0"/>
        <w:keepLines w:val="0"/>
        <w:pageBreakBefore w:val="0"/>
        <w:shd w:val="clear"/>
        <w:kinsoku/>
        <w:wordWrap/>
        <w:overflowPunct/>
        <w:topLinePunct w:val="0"/>
        <w:autoSpaceDE/>
        <w:autoSpaceDN/>
        <w:bidi w:val="0"/>
        <w:adjustRightInd/>
        <w:snapToGrid/>
        <w:spacing w:line="360" w:lineRule="auto"/>
        <w:ind w:firstLine="480"/>
        <w:jc w:val="right"/>
        <w:textAlignment w:val="auto"/>
        <w:rPr>
          <w:rFonts w:hint="eastAsia" w:ascii="宋体" w:hAnsi="宋体" w:eastAsia="宋体" w:cs="宋体"/>
          <w:color w:val="auto"/>
          <w:kern w:val="2"/>
          <w:sz w:val="21"/>
          <w:szCs w:val="21"/>
          <w:highlight w:val="none"/>
          <w:lang w:val="en-US" w:eastAsia="zh-CN" w:bidi="ar-SA"/>
        </w:rPr>
      </w:pPr>
    </w:p>
    <w:p w14:paraId="590D98ED">
      <w:pPr>
        <w:pStyle w:val="174"/>
        <w:keepNext w:val="0"/>
        <w:keepLines w:val="0"/>
        <w:pageBreakBefore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kern w:val="2"/>
          <w:sz w:val="21"/>
          <w:szCs w:val="21"/>
          <w:highlight w:val="none"/>
          <w:lang w:val="en-US" w:eastAsia="zh-CN" w:bidi="ar-SA"/>
        </w:rPr>
      </w:pPr>
    </w:p>
    <w:p w14:paraId="3E058459">
      <w:pPr>
        <w:pStyle w:val="174"/>
        <w:keepNext w:val="0"/>
        <w:keepLines w:val="0"/>
        <w:pageBreakBefore w:val="0"/>
        <w:shd w:val="clear"/>
        <w:kinsoku/>
        <w:wordWrap/>
        <w:overflowPunct/>
        <w:topLinePunct w:val="0"/>
        <w:autoSpaceDE/>
        <w:autoSpaceDN/>
        <w:bidi w:val="0"/>
        <w:adjustRightInd/>
        <w:snapToGrid/>
        <w:spacing w:line="360" w:lineRule="auto"/>
        <w:jc w:val="both"/>
        <w:textAlignment w:val="auto"/>
        <w:rPr>
          <w:rFonts w:hint="eastAsia" w:ascii="宋体" w:hAnsi="宋体" w:eastAsia="宋体" w:cs="宋体"/>
          <w:color w:val="auto"/>
          <w:sz w:val="21"/>
          <w:szCs w:val="21"/>
          <w:highlight w:val="none"/>
          <w:lang w:val="en-US" w:eastAsia="zh-CN"/>
        </w:rPr>
      </w:pPr>
    </w:p>
    <w:p w14:paraId="53B046C1">
      <w:pPr>
        <w:pStyle w:val="174"/>
        <w:keepNext w:val="0"/>
        <w:keepLines w:val="0"/>
        <w:pageBreakBefore w:val="0"/>
        <w:numPr>
          <w:ilvl w:val="0"/>
          <w:numId w:val="7"/>
        </w:numPr>
        <w:shd w:val="clear"/>
        <w:kinsoku/>
        <w:wordWrap/>
        <w:overflowPunct/>
        <w:topLinePunct w:val="0"/>
        <w:autoSpaceDE/>
        <w:autoSpaceDN/>
        <w:bidi w:val="0"/>
        <w:adjustRightInd/>
        <w:snapToGrid/>
        <w:spacing w:line="360" w:lineRule="auto"/>
        <w:ind w:firstLine="480"/>
        <w:jc w:val="center"/>
        <w:textAlignment w:val="auto"/>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采购需求</w:t>
      </w:r>
    </w:p>
    <w:p w14:paraId="3C40D892">
      <w:pPr>
        <w:spacing w:line="360" w:lineRule="auto"/>
        <w:jc w:val="left"/>
        <w:rPr>
          <w:rFonts w:hint="default" w:ascii="宋体" w:hAnsi="宋体" w:eastAsia="宋体" w:cs="宋体"/>
          <w:b w:val="0"/>
          <w:color w:val="auto"/>
          <w:sz w:val="21"/>
          <w:szCs w:val="21"/>
          <w:lang w:val="en-US" w:eastAsia="zh-CN"/>
        </w:rPr>
      </w:pPr>
      <w:r>
        <w:rPr>
          <w:rFonts w:hint="eastAsia" w:cs="宋体"/>
          <w:b/>
          <w:bCs/>
          <w:color w:val="auto"/>
          <w:sz w:val="24"/>
          <w:szCs w:val="24"/>
          <w:lang w:val="en-US" w:eastAsia="zh-CN"/>
        </w:rPr>
        <w:t>一</w:t>
      </w:r>
      <w:r>
        <w:rPr>
          <w:rFonts w:hint="eastAsia" w:cs="宋体"/>
          <w:b/>
          <w:bCs/>
          <w:color w:val="auto"/>
          <w:sz w:val="21"/>
          <w:szCs w:val="21"/>
          <w:lang w:val="en-US" w:eastAsia="zh-CN"/>
        </w:rPr>
        <w:t>、</w:t>
      </w:r>
      <w:r>
        <w:rPr>
          <w:rFonts w:hint="eastAsia" w:ascii="宋体" w:hAnsi="宋体" w:eastAsia="宋体" w:cs="宋体"/>
          <w:b/>
          <w:bCs/>
          <w:color w:val="auto"/>
          <w:sz w:val="21"/>
          <w:szCs w:val="21"/>
          <w:lang w:val="en-US" w:eastAsia="zh-CN"/>
        </w:rPr>
        <w:t>预算金额</w:t>
      </w:r>
      <w:r>
        <w:rPr>
          <w:rFonts w:hint="eastAsia" w:ascii="宋体" w:hAnsi="宋体" w:eastAsia="宋体" w:cs="宋体"/>
          <w:b w:val="0"/>
          <w:bCs w:val="0"/>
          <w:color w:val="auto"/>
          <w:sz w:val="21"/>
          <w:szCs w:val="21"/>
          <w:lang w:val="en-US" w:eastAsia="zh-CN"/>
        </w:rPr>
        <w:t>：832212.91元</w:t>
      </w:r>
      <w:r>
        <w:rPr>
          <w:rFonts w:hint="eastAsia" w:ascii="宋体" w:hAnsi="宋体" w:eastAsia="宋体" w:cs="宋体"/>
          <w:b w:val="0"/>
          <w:color w:val="auto"/>
          <w:sz w:val="21"/>
          <w:szCs w:val="21"/>
          <w:lang w:val="en-US" w:eastAsia="zh-CN"/>
        </w:rPr>
        <w:t>。</w:t>
      </w:r>
    </w:p>
    <w:p w14:paraId="6A780281">
      <w:pPr>
        <w:jc w:val="left"/>
        <w:rPr>
          <w:rFonts w:hint="eastAsia" w:ascii="宋体" w:hAnsi="宋体" w:eastAsia="宋体" w:cs="宋体"/>
          <w:color w:val="auto"/>
          <w:sz w:val="21"/>
          <w:szCs w:val="21"/>
        </w:rPr>
      </w:pPr>
      <w:r>
        <w:rPr>
          <w:rFonts w:hint="eastAsia" w:cs="宋体"/>
          <w:b/>
          <w:color w:val="auto"/>
          <w:sz w:val="21"/>
          <w:szCs w:val="21"/>
          <w:lang w:val="en-US" w:eastAsia="zh-CN"/>
        </w:rPr>
        <w:t>二、</w:t>
      </w:r>
      <w:r>
        <w:rPr>
          <w:rFonts w:hint="eastAsia" w:ascii="宋体" w:hAnsi="宋体" w:eastAsia="宋体" w:cs="宋体"/>
          <w:b/>
          <w:color w:val="auto"/>
          <w:sz w:val="21"/>
          <w:szCs w:val="21"/>
        </w:rPr>
        <w:t>投标报价：</w:t>
      </w:r>
    </w:p>
    <w:p w14:paraId="5A20E7C1">
      <w:pPr>
        <w:spacing w:line="360" w:lineRule="auto"/>
        <w:ind w:firstLine="420"/>
        <w:jc w:val="left"/>
        <w:rPr>
          <w:rFonts w:hint="eastAsia" w:ascii="宋体" w:hAnsi="宋体" w:eastAsia="宋体" w:cs="宋体"/>
          <w:b w:val="0"/>
          <w:color w:val="auto"/>
          <w:sz w:val="21"/>
          <w:szCs w:val="21"/>
        </w:rPr>
      </w:pPr>
      <w:r>
        <w:rPr>
          <w:rFonts w:hint="eastAsia" w:ascii="宋体" w:hAnsi="宋体" w:eastAsia="宋体" w:cs="宋体"/>
          <w:b w:val="0"/>
          <w:color w:val="auto"/>
          <w:sz w:val="21"/>
          <w:szCs w:val="21"/>
        </w:rPr>
        <w:t>本项目最高限价为人民币</w:t>
      </w:r>
      <w:r>
        <w:rPr>
          <w:rFonts w:hint="eastAsia" w:ascii="宋体" w:hAnsi="宋体" w:eastAsia="宋体" w:cs="宋体"/>
          <w:b w:val="0"/>
          <w:color w:val="auto"/>
          <w:sz w:val="21"/>
          <w:szCs w:val="21"/>
          <w:u w:val="single"/>
          <w:lang w:val="en-US" w:eastAsia="zh-CN"/>
        </w:rPr>
        <w:t>832212.91</w:t>
      </w:r>
      <w:r>
        <w:rPr>
          <w:rFonts w:hint="eastAsia" w:ascii="宋体" w:hAnsi="宋体" w:eastAsia="宋体" w:cs="宋体"/>
          <w:b w:val="0"/>
          <w:color w:val="auto"/>
          <w:sz w:val="21"/>
          <w:szCs w:val="21"/>
        </w:rPr>
        <w:t>元，报价包括但不限于运至合同指定地点的设备费、运输费、卸装费、保险费、安装调试费、培训费和验收等一切费用，采购人不再支付其他任何费用。（以上费用需在投标分项报价表中详细列明）。</w:t>
      </w:r>
    </w:p>
    <w:p w14:paraId="57BE2570">
      <w:pPr>
        <w:spacing w:line="360" w:lineRule="auto"/>
        <w:ind w:firstLine="0"/>
        <w:jc w:val="left"/>
        <w:rPr>
          <w:rFonts w:hint="default" w:ascii="宋体" w:hAnsi="宋体" w:eastAsia="宋体" w:cs="宋体"/>
          <w:b w:val="0"/>
          <w:color w:val="auto"/>
          <w:sz w:val="21"/>
          <w:szCs w:val="21"/>
          <w:lang w:val="en-US" w:eastAsia="zh-CN"/>
        </w:rPr>
      </w:pPr>
      <w:r>
        <w:rPr>
          <w:rFonts w:hint="eastAsia" w:cs="宋体"/>
          <w:b/>
          <w:bCs/>
          <w:color w:val="auto"/>
          <w:sz w:val="21"/>
          <w:szCs w:val="21"/>
          <w:lang w:val="en-US" w:eastAsia="zh-CN"/>
        </w:rPr>
        <w:t>三、服务地点：</w:t>
      </w:r>
      <w:r>
        <w:rPr>
          <w:rFonts w:hint="eastAsia" w:cs="宋体"/>
          <w:b w:val="0"/>
          <w:color w:val="auto"/>
          <w:sz w:val="21"/>
          <w:szCs w:val="21"/>
          <w:lang w:val="en-US" w:eastAsia="zh-CN"/>
        </w:rPr>
        <w:t>采购人指定地点。</w:t>
      </w:r>
    </w:p>
    <w:p w14:paraId="36212B8B">
      <w:pPr>
        <w:jc w:val="left"/>
        <w:rPr>
          <w:rFonts w:hint="eastAsia" w:ascii="宋体" w:hAnsi="宋体" w:eastAsia="宋体" w:cs="宋体"/>
          <w:color w:val="auto"/>
          <w:sz w:val="21"/>
          <w:szCs w:val="21"/>
        </w:rPr>
      </w:pPr>
      <w:r>
        <w:rPr>
          <w:rFonts w:hint="eastAsia" w:cs="宋体"/>
          <w:b/>
          <w:color w:val="auto"/>
          <w:sz w:val="21"/>
          <w:szCs w:val="21"/>
          <w:lang w:val="en-US" w:eastAsia="zh-CN"/>
        </w:rPr>
        <w:t>四</w:t>
      </w:r>
      <w:r>
        <w:rPr>
          <w:rFonts w:hint="eastAsia" w:cs="宋体"/>
          <w:b/>
          <w:color w:val="auto"/>
          <w:sz w:val="21"/>
          <w:szCs w:val="21"/>
          <w:lang w:eastAsia="zh-CN"/>
        </w:rPr>
        <w:t>、</w:t>
      </w:r>
      <w:r>
        <w:rPr>
          <w:rFonts w:hint="eastAsia" w:ascii="宋体" w:hAnsi="宋体" w:eastAsia="宋体" w:cs="宋体"/>
          <w:b/>
          <w:color w:val="auto"/>
          <w:sz w:val="21"/>
          <w:szCs w:val="21"/>
        </w:rPr>
        <w:t>投标人项目团队及项目经验要求：</w:t>
      </w:r>
    </w:p>
    <w:p w14:paraId="0E2E4F3E">
      <w:pPr>
        <w:numPr>
          <w:ilvl w:val="0"/>
          <w:numId w:val="8"/>
        </w:numPr>
        <w:spacing w:line="360" w:lineRule="auto"/>
        <w:ind w:left="425" w:leftChars="0" w:hanging="425" w:firstLineChars="0"/>
        <w:jc w:val="left"/>
        <w:rPr>
          <w:rFonts w:hint="eastAsia" w:ascii="宋体" w:hAnsi="宋体" w:eastAsia="宋体" w:cs="宋体"/>
          <w:color w:val="auto"/>
          <w:sz w:val="21"/>
          <w:szCs w:val="21"/>
        </w:rPr>
      </w:pPr>
      <w:r>
        <w:rPr>
          <w:rFonts w:hint="eastAsia" w:ascii="宋体" w:hAnsi="宋体" w:eastAsia="宋体" w:cs="宋体"/>
          <w:b w:val="0"/>
          <w:color w:val="auto"/>
          <w:sz w:val="21"/>
          <w:szCs w:val="21"/>
        </w:rPr>
        <w:t>专项团队：投标人须为本项目组建经验丰富的专项团队，包括项目负责人，技术负责人、技术开发人员、设计师、项目运营培训师等。</w:t>
      </w:r>
    </w:p>
    <w:p w14:paraId="66F5356C">
      <w:pPr>
        <w:numPr>
          <w:ilvl w:val="0"/>
          <w:numId w:val="8"/>
        </w:numPr>
        <w:spacing w:line="360" w:lineRule="auto"/>
        <w:ind w:left="425" w:leftChars="0" w:hanging="425" w:firstLineChars="0"/>
        <w:jc w:val="left"/>
        <w:rPr>
          <w:rFonts w:hint="eastAsia" w:ascii="宋体" w:hAnsi="宋体" w:eastAsia="宋体" w:cs="宋体"/>
          <w:color w:val="auto"/>
          <w:sz w:val="21"/>
          <w:szCs w:val="21"/>
        </w:rPr>
      </w:pPr>
      <w:r>
        <w:rPr>
          <w:rFonts w:hint="eastAsia" w:ascii="宋体" w:hAnsi="宋体" w:eastAsia="宋体" w:cs="宋体"/>
          <w:b w:val="0"/>
          <w:color w:val="auto"/>
          <w:sz w:val="21"/>
          <w:szCs w:val="21"/>
        </w:rPr>
        <w:t>成员经验：团队核心成员（如项目经理、技术负责人）有类似项目经验。</w:t>
      </w:r>
    </w:p>
    <w:p w14:paraId="10039186">
      <w:pPr>
        <w:numPr>
          <w:ilvl w:val="0"/>
          <w:numId w:val="8"/>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rPr>
        <w:t>项目经验要求：投标人需提供近三年内完成的类似项目案例。（提供相应合同及中标通知书复</w:t>
      </w:r>
      <w:r>
        <w:rPr>
          <w:rFonts w:hint="eastAsia" w:ascii="宋体" w:hAnsi="宋体" w:eastAsia="宋体" w:cs="宋体"/>
          <w:b w:val="0"/>
          <w:color w:val="auto"/>
          <w:sz w:val="21"/>
          <w:szCs w:val="21"/>
          <w:highlight w:val="none"/>
        </w:rPr>
        <w:t>印件作为佐证资料）。</w:t>
      </w:r>
    </w:p>
    <w:p w14:paraId="66B40284">
      <w:pPr>
        <w:jc w:val="left"/>
        <w:rPr>
          <w:rFonts w:hint="eastAsia" w:ascii="宋体" w:hAnsi="宋体" w:eastAsia="宋体" w:cs="宋体"/>
          <w:color w:val="auto"/>
          <w:sz w:val="21"/>
          <w:szCs w:val="21"/>
          <w:highlight w:val="none"/>
        </w:rPr>
      </w:pPr>
      <w:r>
        <w:rPr>
          <w:rFonts w:hint="eastAsia" w:cs="宋体"/>
          <w:b/>
          <w:color w:val="auto"/>
          <w:sz w:val="21"/>
          <w:szCs w:val="21"/>
          <w:highlight w:val="none"/>
          <w:lang w:val="en-US" w:eastAsia="zh-CN"/>
        </w:rPr>
        <w:t>五、</w:t>
      </w:r>
      <w:r>
        <w:rPr>
          <w:rFonts w:hint="eastAsia" w:ascii="宋体" w:hAnsi="宋体" w:eastAsia="宋体" w:cs="宋体"/>
          <w:b/>
          <w:color w:val="auto"/>
          <w:sz w:val="21"/>
          <w:szCs w:val="21"/>
          <w:highlight w:val="none"/>
        </w:rPr>
        <w:t>合同签订要求：</w:t>
      </w:r>
    </w:p>
    <w:p w14:paraId="6370C201">
      <w:pPr>
        <w:numPr>
          <w:ilvl w:val="0"/>
          <w:numId w:val="9"/>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采购合同由</w:t>
      </w:r>
      <w:r>
        <w:rPr>
          <w:rFonts w:hint="eastAsia" w:cs="宋体"/>
          <w:b w:val="0"/>
          <w:color w:val="auto"/>
          <w:sz w:val="21"/>
          <w:szCs w:val="21"/>
          <w:highlight w:val="none"/>
          <w:lang w:eastAsia="zh-CN"/>
        </w:rPr>
        <w:t>中标人</w:t>
      </w:r>
      <w:r>
        <w:rPr>
          <w:rFonts w:hint="eastAsia" w:ascii="宋体" w:hAnsi="宋体" w:eastAsia="宋体" w:cs="宋体"/>
          <w:b w:val="0"/>
          <w:color w:val="auto"/>
          <w:sz w:val="21"/>
          <w:szCs w:val="21"/>
          <w:highlight w:val="none"/>
        </w:rPr>
        <w:t>与采购人双方签订，签订时间为</w:t>
      </w:r>
      <w:r>
        <w:rPr>
          <w:rFonts w:hint="eastAsia" w:cs="宋体"/>
          <w:b w:val="0"/>
          <w:color w:val="auto"/>
          <w:sz w:val="21"/>
          <w:szCs w:val="21"/>
          <w:highlight w:val="none"/>
          <w:lang w:eastAsia="zh-CN"/>
        </w:rPr>
        <w:t>中标人</w:t>
      </w:r>
      <w:r>
        <w:rPr>
          <w:rFonts w:hint="eastAsia" w:ascii="宋体" w:hAnsi="宋体" w:eastAsia="宋体" w:cs="宋体"/>
          <w:b w:val="0"/>
          <w:color w:val="auto"/>
          <w:sz w:val="21"/>
          <w:szCs w:val="21"/>
          <w:highlight w:val="none"/>
        </w:rPr>
        <w:t>收到《中标通知书》通知后5个工作日内。</w:t>
      </w:r>
    </w:p>
    <w:p w14:paraId="237141A7">
      <w:pPr>
        <w:numPr>
          <w:ilvl w:val="0"/>
          <w:numId w:val="9"/>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中标人</w:t>
      </w:r>
      <w:r>
        <w:rPr>
          <w:rFonts w:ascii="宋体" w:hAnsi="宋体" w:eastAsia="宋体" w:cs="宋体"/>
          <w:color w:val="auto"/>
          <w:sz w:val="21"/>
          <w:szCs w:val="21"/>
          <w:highlight w:val="none"/>
        </w:rPr>
        <w:t>须保证本项目集成的托育课程出版物版权全部合法有效，如发生任何版权侵权纠纷，由此产生全部经济赔偿、法律责任均由</w:t>
      </w:r>
      <w:r>
        <w:rPr>
          <w:rFonts w:hint="eastAsia" w:ascii="宋体" w:hAnsi="宋体" w:eastAsia="宋体" w:cs="宋体"/>
          <w:color w:val="auto"/>
          <w:sz w:val="21"/>
          <w:szCs w:val="21"/>
          <w:highlight w:val="none"/>
          <w:lang w:eastAsia="zh-CN"/>
        </w:rPr>
        <w:t>中标人</w:t>
      </w:r>
      <w:r>
        <w:rPr>
          <w:rFonts w:ascii="宋体" w:hAnsi="宋体" w:eastAsia="宋体" w:cs="宋体"/>
          <w:color w:val="auto"/>
          <w:sz w:val="21"/>
          <w:szCs w:val="21"/>
          <w:highlight w:val="none"/>
        </w:rPr>
        <w:t>承担。</w:t>
      </w:r>
    </w:p>
    <w:p w14:paraId="458712B4">
      <w:pPr>
        <w:jc w:val="left"/>
        <w:rPr>
          <w:rFonts w:hint="eastAsia" w:ascii="宋体" w:hAnsi="宋体" w:eastAsia="宋体" w:cs="宋体"/>
          <w:color w:val="auto"/>
          <w:sz w:val="21"/>
          <w:szCs w:val="21"/>
          <w:highlight w:val="none"/>
        </w:rPr>
      </w:pPr>
      <w:r>
        <w:rPr>
          <w:rFonts w:hint="eastAsia" w:cs="宋体"/>
          <w:b/>
          <w:color w:val="auto"/>
          <w:sz w:val="21"/>
          <w:szCs w:val="21"/>
          <w:highlight w:val="none"/>
          <w:lang w:val="en-US" w:eastAsia="zh-CN"/>
        </w:rPr>
        <w:t>六、</w:t>
      </w:r>
      <w:r>
        <w:rPr>
          <w:rFonts w:hint="eastAsia" w:ascii="宋体" w:hAnsi="宋体" w:eastAsia="宋体" w:cs="宋体"/>
          <w:b/>
          <w:color w:val="auto"/>
          <w:sz w:val="21"/>
          <w:szCs w:val="21"/>
          <w:highlight w:val="none"/>
        </w:rPr>
        <w:t xml:space="preserve"> 项目付款方式：</w:t>
      </w:r>
    </w:p>
    <w:p w14:paraId="6033863B">
      <w:pPr>
        <w:numPr>
          <w:ilvl w:val="0"/>
          <w:numId w:val="1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本项目合同总价为固定价，包含所有税费、软硬件（如有）购置、开发、集成、培训、验收及免费售后等全部费用。</w:t>
      </w:r>
    </w:p>
    <w:p w14:paraId="0015431E">
      <w:pPr>
        <w:numPr>
          <w:ilvl w:val="0"/>
          <w:numId w:val="10"/>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付款进度安排如下：</w:t>
      </w:r>
    </w:p>
    <w:p w14:paraId="3452B54F">
      <w:pPr>
        <w:spacing w:line="360" w:lineRule="auto"/>
        <w:ind w:left="0" w:leftChars="0" w:firstLine="420" w:firstLineChars="200"/>
        <w:jc w:val="left"/>
        <w:rPr>
          <w:rFonts w:hint="eastAsia" w:cs="宋体"/>
          <w:b w:val="0"/>
          <w:bCs/>
          <w:color w:val="auto"/>
          <w:sz w:val="21"/>
          <w:szCs w:val="21"/>
          <w:highlight w:val="none"/>
          <w:lang w:val="en-US" w:eastAsia="zh-CN"/>
        </w:rPr>
      </w:pPr>
      <w:r>
        <w:rPr>
          <w:rFonts w:hint="eastAsia" w:cs="宋体"/>
          <w:b w:val="0"/>
          <w:bCs/>
          <w:color w:val="auto"/>
          <w:sz w:val="21"/>
          <w:szCs w:val="21"/>
          <w:highlight w:val="none"/>
          <w:lang w:val="en-US" w:eastAsia="zh-CN"/>
        </w:rPr>
        <w:t xml:space="preserve">1 期：预付款，支付比例50%。合同签订生效后，中标供应商提交完整请款资料，采购人15个工作日内向中标供应商支付合同总价的 50% 作为预付款。 </w:t>
      </w:r>
    </w:p>
    <w:p w14:paraId="7E47660A">
      <w:pPr>
        <w:spacing w:line="360" w:lineRule="auto"/>
        <w:ind w:left="0" w:leftChars="0" w:firstLine="420" w:firstLineChars="200"/>
        <w:jc w:val="left"/>
        <w:rPr>
          <w:rFonts w:hint="eastAsia" w:cs="宋体"/>
          <w:b w:val="0"/>
          <w:bCs/>
          <w:color w:val="auto"/>
          <w:sz w:val="21"/>
          <w:szCs w:val="21"/>
          <w:highlight w:val="none"/>
          <w:lang w:val="en-US" w:eastAsia="zh-CN"/>
        </w:rPr>
      </w:pPr>
      <w:r>
        <w:rPr>
          <w:rFonts w:hint="eastAsia" w:cs="宋体"/>
          <w:b w:val="0"/>
          <w:bCs/>
          <w:color w:val="auto"/>
          <w:sz w:val="21"/>
          <w:szCs w:val="21"/>
          <w:highlight w:val="none"/>
          <w:lang w:val="en-US" w:eastAsia="zh-CN"/>
        </w:rPr>
        <w:t xml:space="preserve">2 期：进度款，支付比例40%。项目完成全部核心功能模块开发，并通过采购人组织的阶段确认，中标供应商提交请款资料后，采购人15个工作日内向中标供应商支付至合同总价的90%。 </w:t>
      </w:r>
    </w:p>
    <w:p w14:paraId="551EEE40">
      <w:pPr>
        <w:spacing w:line="360" w:lineRule="auto"/>
        <w:ind w:left="0" w:leftChars="0" w:firstLine="420" w:firstLineChars="200"/>
        <w:jc w:val="left"/>
        <w:rPr>
          <w:rFonts w:hint="default" w:cs="宋体"/>
          <w:b w:val="0"/>
          <w:bCs/>
          <w:color w:val="auto"/>
          <w:sz w:val="21"/>
          <w:szCs w:val="21"/>
          <w:highlight w:val="none"/>
          <w:lang w:val="en-US" w:eastAsia="zh-CN"/>
        </w:rPr>
      </w:pPr>
      <w:r>
        <w:rPr>
          <w:rFonts w:hint="eastAsia" w:cs="宋体"/>
          <w:b w:val="0"/>
          <w:bCs/>
          <w:color w:val="auto"/>
          <w:sz w:val="21"/>
          <w:szCs w:val="21"/>
          <w:highlight w:val="none"/>
          <w:lang w:val="en-US" w:eastAsia="zh-CN"/>
        </w:rPr>
        <w:t>3 期：尾款，支付比例10%。项目最终验收合格，中标供应商提交请款资料后，采购人15个工作日内向中标供应商支付至结算价的100%。(需送财政部门或第三方进行结算审核，待结算审核完成后付清剩余款项）</w:t>
      </w:r>
    </w:p>
    <w:p w14:paraId="41493F04">
      <w:pPr>
        <w:spacing w:line="360" w:lineRule="auto"/>
        <w:ind w:left="0" w:leftChars="0" w:firstLine="420" w:firstLineChars="200"/>
        <w:jc w:val="left"/>
        <w:rPr>
          <w:rFonts w:hint="eastAsia" w:cs="宋体"/>
          <w:b w:val="0"/>
          <w:bCs/>
          <w:color w:val="auto"/>
          <w:sz w:val="21"/>
          <w:szCs w:val="21"/>
          <w:highlight w:val="none"/>
          <w:lang w:val="en-US" w:eastAsia="zh-CN"/>
        </w:rPr>
      </w:pPr>
      <w:r>
        <w:rPr>
          <w:rFonts w:hint="eastAsia" w:cs="宋体"/>
          <w:b w:val="0"/>
          <w:bCs/>
          <w:color w:val="auto"/>
          <w:sz w:val="21"/>
          <w:szCs w:val="21"/>
          <w:highlight w:val="none"/>
          <w:lang w:val="en-US" w:eastAsia="zh-CN"/>
        </w:rPr>
        <w:t>注：（1）每期申请支付合同款项时，中标供应商须向采购人提供中华人民共和国大陆地区合法有效发票。（2）因采购人使用的是财政性资金，采购人向政府采购支付部门提出支付申请的时间（不含政府采购支付部门的审核和支付时间），在规定时间内提交付款申请即视为采购人已履行付款义务，中标供应商不得以付款期限已过为由要求采购人承担违约责任。</w:t>
      </w:r>
    </w:p>
    <w:p w14:paraId="2E702405">
      <w:pPr>
        <w:jc w:val="left"/>
        <w:rPr>
          <w:rFonts w:hint="eastAsia" w:ascii="宋体" w:hAnsi="宋体" w:eastAsia="宋体" w:cs="宋体"/>
          <w:color w:val="auto"/>
          <w:sz w:val="21"/>
          <w:szCs w:val="21"/>
          <w:highlight w:val="none"/>
        </w:rPr>
      </w:pPr>
      <w:r>
        <w:rPr>
          <w:rFonts w:hint="eastAsia" w:cs="宋体"/>
          <w:b/>
          <w:color w:val="auto"/>
          <w:sz w:val="21"/>
          <w:szCs w:val="21"/>
          <w:highlight w:val="none"/>
          <w:lang w:val="en-US" w:eastAsia="zh-CN"/>
        </w:rPr>
        <w:t>七、服务期</w:t>
      </w:r>
      <w:r>
        <w:rPr>
          <w:rFonts w:hint="eastAsia" w:ascii="宋体" w:hAnsi="宋体" w:eastAsia="宋体" w:cs="宋体"/>
          <w:b/>
          <w:color w:val="auto"/>
          <w:sz w:val="21"/>
          <w:szCs w:val="21"/>
          <w:highlight w:val="none"/>
        </w:rPr>
        <w:t>：</w:t>
      </w:r>
    </w:p>
    <w:p w14:paraId="7E6B1324">
      <w:pPr>
        <w:spacing w:line="240" w:lineRule="auto"/>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合同签订后6个月内完成交货及安装工作（交货包括设备安装、调试、试运行）。</w:t>
      </w:r>
    </w:p>
    <w:p w14:paraId="3D31F356">
      <w:pPr>
        <w:pStyle w:val="174"/>
        <w:numPr>
          <w:ilvl w:val="0"/>
          <w:numId w:val="0"/>
        </w:numPr>
        <w:spacing w:line="360" w:lineRule="auto"/>
        <w:rPr>
          <w:rFonts w:hint="default" w:ascii="宋体" w:hAnsi="宋体" w:eastAsia="宋体" w:cs="宋体"/>
          <w:b w:val="0"/>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八、</w:t>
      </w:r>
      <w:r>
        <w:rPr>
          <w:rFonts w:hint="eastAsia" w:ascii="宋体" w:hAnsi="宋体" w:eastAsia="宋体" w:cs="宋体"/>
          <w:b/>
          <w:bCs/>
          <w:color w:val="auto"/>
          <w:sz w:val="21"/>
          <w:szCs w:val="21"/>
          <w:highlight w:val="none"/>
        </w:rPr>
        <w:t>合同履行期限：</w:t>
      </w:r>
      <w:r>
        <w:rPr>
          <w:rFonts w:hint="eastAsia" w:ascii="宋体" w:hAnsi="宋体" w:eastAsia="宋体" w:cs="宋体"/>
          <w:color w:val="auto"/>
          <w:sz w:val="21"/>
          <w:szCs w:val="21"/>
          <w:highlight w:val="none"/>
          <w:lang w:val="en-US" w:eastAsia="zh-CN"/>
        </w:rPr>
        <w:t>自合同生效之日起至合同全部权利义务履行完毕、质保服务到期之日止。</w:t>
      </w:r>
    </w:p>
    <w:p w14:paraId="4F167887">
      <w:pPr>
        <w:jc w:val="left"/>
        <w:rPr>
          <w:rFonts w:hint="eastAsia" w:ascii="宋体" w:hAnsi="宋体" w:eastAsia="宋体" w:cs="宋体"/>
          <w:color w:val="auto"/>
          <w:sz w:val="21"/>
          <w:szCs w:val="21"/>
          <w:highlight w:val="none"/>
        </w:rPr>
      </w:pPr>
      <w:r>
        <w:rPr>
          <w:rFonts w:hint="eastAsia" w:cs="宋体"/>
          <w:b/>
          <w:color w:val="auto"/>
          <w:sz w:val="21"/>
          <w:szCs w:val="21"/>
          <w:highlight w:val="none"/>
          <w:lang w:val="en-US" w:eastAsia="zh-CN"/>
        </w:rPr>
        <w:t>九、</w:t>
      </w:r>
      <w:r>
        <w:rPr>
          <w:rFonts w:hint="eastAsia" w:ascii="宋体" w:hAnsi="宋体" w:eastAsia="宋体" w:cs="宋体"/>
          <w:b/>
          <w:color w:val="auto"/>
          <w:sz w:val="21"/>
          <w:szCs w:val="21"/>
          <w:highlight w:val="none"/>
        </w:rPr>
        <w:t>售后服务要求：</w:t>
      </w:r>
    </w:p>
    <w:p w14:paraId="7547F275">
      <w:pPr>
        <w:numPr>
          <w:ilvl w:val="0"/>
          <w:numId w:val="11"/>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免费维护期：自项目最终验收合格之日起，提供叁（3）年的免费原厂技术支持与维护服务。</w:t>
      </w:r>
    </w:p>
    <w:p w14:paraId="2CF27C88">
      <w:pPr>
        <w:numPr>
          <w:ilvl w:val="0"/>
          <w:numId w:val="11"/>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服务响应：提供7×24小时故障受理服务，并承诺以下响应时效：</w:t>
      </w:r>
    </w:p>
    <w:p w14:paraId="6F007721">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一级故障（系统瘫痪）：2小时内响应，4小时内恢复。</w:t>
      </w:r>
    </w:p>
    <w:p w14:paraId="13121934">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二级故障（主要功能失效）：4小时内响应，8小时内恢复。</w:t>
      </w:r>
    </w:p>
    <w:p w14:paraId="0A53EF74">
      <w:pPr>
        <w:spacing w:line="360" w:lineRule="auto"/>
        <w:ind w:firstLine="42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三级故障（一般性错误）：1个工作日内响应。</w:t>
      </w:r>
    </w:p>
    <w:p w14:paraId="6D095DF2">
      <w:pPr>
        <w:spacing w:line="360" w:lineRule="auto"/>
        <w:ind w:firstLine="0"/>
        <w:jc w:val="left"/>
        <w:rPr>
          <w:rFonts w:hint="eastAsia" w:ascii="宋体" w:hAnsi="宋体" w:eastAsia="宋体" w:cs="宋体"/>
          <w:color w:val="auto"/>
          <w:sz w:val="21"/>
          <w:szCs w:val="21"/>
          <w:highlight w:val="none"/>
        </w:rPr>
      </w:pPr>
      <w:r>
        <w:rPr>
          <w:rFonts w:hint="eastAsia" w:cs="宋体"/>
          <w:b w:val="0"/>
          <w:color w:val="auto"/>
          <w:sz w:val="21"/>
          <w:szCs w:val="21"/>
          <w:highlight w:val="none"/>
          <w:lang w:eastAsia="zh-CN"/>
        </w:rPr>
        <w:t>（</w:t>
      </w:r>
      <w:r>
        <w:rPr>
          <w:rFonts w:hint="eastAsia" w:cs="宋体"/>
          <w:b w:val="0"/>
          <w:color w:val="auto"/>
          <w:sz w:val="21"/>
          <w:szCs w:val="21"/>
          <w:highlight w:val="none"/>
          <w:lang w:val="en-US" w:eastAsia="zh-CN"/>
        </w:rPr>
        <w:t>3</w:t>
      </w:r>
      <w:r>
        <w:rPr>
          <w:rFonts w:hint="eastAsia" w:cs="宋体"/>
          <w:b w:val="0"/>
          <w:color w:val="auto"/>
          <w:sz w:val="21"/>
          <w:szCs w:val="21"/>
          <w:highlight w:val="none"/>
          <w:lang w:eastAsia="zh-CN"/>
        </w:rPr>
        <w:t>）</w:t>
      </w:r>
      <w:r>
        <w:rPr>
          <w:rFonts w:hint="eastAsia" w:ascii="宋体" w:hAnsi="宋体" w:eastAsia="宋体" w:cs="宋体"/>
          <w:b w:val="0"/>
          <w:color w:val="auto"/>
          <w:sz w:val="21"/>
          <w:szCs w:val="21"/>
          <w:highlight w:val="none"/>
        </w:rPr>
        <w:t>内容：免费服务期内，中标人应提供系统漏洞修复、日常技术咨询、数据备份支持及保证系统平稳运行所必需的功能优化升级。同时，并为托育机构教师配备对应的自主学习平台，支持其开展职业化能力提升学习，以整体提升托育机构的专业服务水平。超出合同范围的新功能开发，双方另行协商。</w:t>
      </w:r>
    </w:p>
    <w:p w14:paraId="042161B0">
      <w:pPr>
        <w:jc w:val="left"/>
        <w:rPr>
          <w:rFonts w:hint="eastAsia" w:ascii="宋体" w:hAnsi="宋体" w:eastAsia="宋体" w:cs="宋体"/>
          <w:b/>
          <w:color w:val="auto"/>
          <w:sz w:val="21"/>
          <w:szCs w:val="21"/>
          <w:highlight w:val="none"/>
        </w:rPr>
      </w:pPr>
      <w:r>
        <w:rPr>
          <w:rFonts w:hint="eastAsia" w:cs="宋体"/>
          <w:b/>
          <w:color w:val="auto"/>
          <w:sz w:val="21"/>
          <w:szCs w:val="21"/>
          <w:highlight w:val="none"/>
          <w:lang w:val="en-US" w:eastAsia="zh-CN"/>
        </w:rPr>
        <w:t>十、</w:t>
      </w:r>
      <w:r>
        <w:rPr>
          <w:rFonts w:hint="eastAsia" w:ascii="宋体" w:hAnsi="宋体" w:eastAsia="宋体" w:cs="宋体"/>
          <w:b/>
          <w:color w:val="auto"/>
          <w:sz w:val="21"/>
          <w:szCs w:val="21"/>
          <w:highlight w:val="none"/>
        </w:rPr>
        <w:t>验收要求：</w:t>
      </w:r>
    </w:p>
    <w:p w14:paraId="7498FD5F">
      <w:pPr>
        <w:numPr>
          <w:ilvl w:val="0"/>
          <w:numId w:val="12"/>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验收依据：以经双方确认的《需求规格说明书》、《功能清单》、《技术详细方案》等投标文件承诺及国家相关标准为依据，完成产品的验收。</w:t>
      </w:r>
    </w:p>
    <w:p w14:paraId="2D256377">
      <w:pPr>
        <w:numPr>
          <w:ilvl w:val="0"/>
          <w:numId w:val="12"/>
        </w:numPr>
        <w:spacing w:line="360" w:lineRule="auto"/>
        <w:ind w:left="425" w:leftChars="0" w:hanging="425" w:firstLineChars="0"/>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验收分为初步验收和最终验收。系统开发完成后进行初验，初验合格后进入为期3个月的试运行期。试运行期满，系统运行稳定且满足所有功能要求和技术要求后，进行最终验收。</w:t>
      </w:r>
    </w:p>
    <w:p w14:paraId="4AB3F54E">
      <w:pPr>
        <w:numPr>
          <w:ilvl w:val="0"/>
          <w:numId w:val="12"/>
        </w:numPr>
        <w:spacing w:line="360" w:lineRule="auto"/>
        <w:ind w:left="425" w:leftChars="0" w:hanging="425" w:firstLineChars="0"/>
        <w:jc w:val="left"/>
        <w:rPr>
          <w:rFonts w:hint="eastAsia" w:ascii="宋体" w:hAnsi="宋体" w:eastAsia="宋体" w:cs="宋体"/>
          <w:color w:val="auto"/>
          <w:sz w:val="21"/>
          <w:szCs w:val="21"/>
        </w:rPr>
      </w:pPr>
      <w:r>
        <w:rPr>
          <w:rFonts w:hint="eastAsia" w:ascii="宋体" w:hAnsi="宋体" w:eastAsia="宋体" w:cs="宋体"/>
          <w:b w:val="0"/>
          <w:color w:val="auto"/>
          <w:sz w:val="21"/>
          <w:szCs w:val="21"/>
          <w:highlight w:val="none"/>
        </w:rPr>
        <w:t>交付文档：包括但不限于平台管理员账号、用户操作手册、API</w:t>
      </w:r>
      <w:r>
        <w:rPr>
          <w:rFonts w:hint="eastAsia" w:ascii="宋体" w:hAnsi="宋体" w:eastAsia="宋体" w:cs="宋体"/>
          <w:b w:val="0"/>
          <w:color w:val="auto"/>
          <w:sz w:val="21"/>
          <w:szCs w:val="21"/>
        </w:rPr>
        <w:t>接口文档、培训记录等。</w:t>
      </w:r>
    </w:p>
    <w:p w14:paraId="773284A6">
      <w:pPr>
        <w:numPr>
          <w:ilvl w:val="0"/>
          <w:numId w:val="0"/>
        </w:numPr>
        <w:spacing w:after="200" w:line="360" w:lineRule="auto"/>
        <w:jc w:val="left"/>
        <w:rPr>
          <w:rFonts w:hint="eastAsia" w:ascii="宋体" w:hAnsi="宋体" w:eastAsia="宋体" w:cs="宋体"/>
          <w:b w:val="0"/>
          <w:color w:val="auto"/>
          <w:sz w:val="21"/>
          <w:szCs w:val="21"/>
        </w:rPr>
      </w:pPr>
    </w:p>
    <w:p w14:paraId="67A71DE0">
      <w:pPr>
        <w:jc w:val="center"/>
        <w:rPr>
          <w:rFonts w:hint="eastAsia" w:ascii="宋体" w:hAnsi="宋体" w:eastAsia="宋体" w:cs="宋体"/>
          <w:color w:val="auto"/>
          <w:sz w:val="24"/>
          <w:szCs w:val="24"/>
        </w:rPr>
      </w:pPr>
      <w:r>
        <w:rPr>
          <w:rFonts w:hint="eastAsia" w:cs="宋体"/>
          <w:b/>
          <w:color w:val="auto"/>
          <w:sz w:val="24"/>
          <w:szCs w:val="24"/>
          <w:lang w:eastAsia="zh-CN"/>
        </w:rPr>
        <w:t>（</w:t>
      </w:r>
      <w:r>
        <w:rPr>
          <w:rFonts w:hint="eastAsia" w:cs="宋体"/>
          <w:b/>
          <w:color w:val="auto"/>
          <w:sz w:val="24"/>
          <w:szCs w:val="24"/>
          <w:lang w:val="en-US" w:eastAsia="zh-CN"/>
        </w:rPr>
        <w:t>二</w:t>
      </w:r>
      <w:r>
        <w:rPr>
          <w:rFonts w:hint="eastAsia" w:cs="宋体"/>
          <w:b/>
          <w:color w:val="auto"/>
          <w:sz w:val="24"/>
          <w:szCs w:val="24"/>
          <w:lang w:eastAsia="zh-CN"/>
        </w:rPr>
        <w:t>）</w:t>
      </w:r>
      <w:r>
        <w:rPr>
          <w:rFonts w:hint="eastAsia" w:ascii="宋体" w:hAnsi="宋体" w:eastAsia="宋体" w:cs="宋体"/>
          <w:b/>
          <w:color w:val="auto"/>
          <w:sz w:val="24"/>
          <w:szCs w:val="24"/>
        </w:rPr>
        <w:t>技术要求</w:t>
      </w:r>
    </w:p>
    <w:p w14:paraId="0D2C2B03">
      <w:pPr>
        <w:jc w:val="left"/>
        <w:rPr>
          <w:rFonts w:hint="eastAsia" w:ascii="宋体" w:hAnsi="宋体" w:eastAsia="宋体" w:cs="宋体"/>
          <w:b/>
          <w:color w:val="auto"/>
          <w:sz w:val="21"/>
          <w:szCs w:val="21"/>
        </w:rPr>
      </w:pPr>
      <w:r>
        <w:rPr>
          <w:rFonts w:hint="eastAsia" w:ascii="宋体" w:hAnsi="宋体" w:eastAsia="宋体" w:cs="宋体"/>
          <w:b/>
          <w:color w:val="auto"/>
          <w:sz w:val="21"/>
          <w:szCs w:val="21"/>
        </w:rPr>
        <w:t>1</w:t>
      </w:r>
      <w:r>
        <w:rPr>
          <w:rFonts w:hint="eastAsia" w:ascii="宋体" w:hAnsi="宋体" w:eastAsia="宋体" w:cs="宋体"/>
          <w:b/>
          <w:color w:val="auto"/>
          <w:sz w:val="21"/>
          <w:szCs w:val="21"/>
          <w:lang w:eastAsia="zh-CN"/>
        </w:rPr>
        <w:t>、</w:t>
      </w:r>
      <w:r>
        <w:rPr>
          <w:rFonts w:hint="eastAsia" w:ascii="宋体" w:hAnsi="宋体" w:eastAsia="宋体" w:cs="宋体"/>
          <w:b/>
          <w:color w:val="auto"/>
          <w:sz w:val="21"/>
          <w:szCs w:val="21"/>
        </w:rPr>
        <w:t>供应商须对同一采购项目为单位的需求清单及服务进行整体响应。</w:t>
      </w:r>
    </w:p>
    <w:p w14:paraId="27AE81CC">
      <w:pPr>
        <w:jc w:val="left"/>
        <w:rPr>
          <w:rFonts w:hint="eastAsia" w:ascii="宋体" w:hAnsi="宋体" w:eastAsia="宋体" w:cs="宋体"/>
          <w:b/>
          <w:color w:val="auto"/>
          <w:sz w:val="21"/>
          <w:szCs w:val="21"/>
        </w:rPr>
      </w:pPr>
      <w:r>
        <w:rPr>
          <w:rFonts w:hint="eastAsia" w:ascii="宋体" w:hAnsi="宋体" w:eastAsia="宋体" w:cs="宋体"/>
          <w:b/>
          <w:color w:val="auto"/>
          <w:sz w:val="21"/>
          <w:szCs w:val="21"/>
        </w:rPr>
        <w:t>2. 本期采购需求内容如下：</w:t>
      </w:r>
    </w:p>
    <w:tbl>
      <w:tblPr>
        <w:tblStyle w:val="38"/>
        <w:tblW w:w="885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66"/>
        <w:gridCol w:w="1262"/>
        <w:gridCol w:w="1262"/>
        <w:gridCol w:w="3534"/>
        <w:gridCol w:w="610"/>
        <w:gridCol w:w="1518"/>
      </w:tblGrid>
      <w:tr w14:paraId="39CE64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B81F1ED">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序号</w:t>
            </w:r>
          </w:p>
        </w:tc>
        <w:tc>
          <w:tcPr>
            <w:tcW w:w="2524" w:type="dxa"/>
            <w:gridSpan w:val="2"/>
          </w:tcPr>
          <w:p w14:paraId="39C5721F">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内容名称</w:t>
            </w:r>
          </w:p>
        </w:tc>
        <w:tc>
          <w:tcPr>
            <w:tcW w:w="3534" w:type="dxa"/>
          </w:tcPr>
          <w:p w14:paraId="11DD1F3D">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内容概述</w:t>
            </w:r>
          </w:p>
        </w:tc>
        <w:tc>
          <w:tcPr>
            <w:tcW w:w="610" w:type="dxa"/>
          </w:tcPr>
          <w:p w14:paraId="0FEE75B8">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数量</w:t>
            </w:r>
          </w:p>
        </w:tc>
        <w:tc>
          <w:tcPr>
            <w:tcW w:w="1518" w:type="dxa"/>
          </w:tcPr>
          <w:p w14:paraId="3DCAF904">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单位</w:t>
            </w:r>
          </w:p>
        </w:tc>
      </w:tr>
      <w:tr w14:paraId="3233CD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3F19F729">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w:t>
            </w:r>
          </w:p>
        </w:tc>
        <w:tc>
          <w:tcPr>
            <w:tcW w:w="1262" w:type="dxa"/>
            <w:vMerge w:val="restart"/>
            <w:vAlign w:val="center"/>
          </w:tcPr>
          <w:p w14:paraId="5073C72E">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软件部分</w:t>
            </w:r>
          </w:p>
        </w:tc>
        <w:tc>
          <w:tcPr>
            <w:tcW w:w="1262" w:type="dxa"/>
            <w:vAlign w:val="center"/>
          </w:tcPr>
          <w:p w14:paraId="401FE9E5">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数据大屏子系统</w:t>
            </w:r>
          </w:p>
        </w:tc>
        <w:tc>
          <w:tcPr>
            <w:tcW w:w="3534" w:type="dxa"/>
            <w:vAlign w:val="center"/>
          </w:tcPr>
          <w:p w14:paraId="12262C97">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通过"一屏总览"的数字化看板，集中可视化展示托育机构、婴幼儿、托位等核心资源的分布与运营指标（如入托率、千人托位数），并结合权限管控，实现对全域托育态势的实时监测与科学决策支持。</w:t>
            </w:r>
          </w:p>
        </w:tc>
        <w:tc>
          <w:tcPr>
            <w:tcW w:w="610" w:type="dxa"/>
            <w:vAlign w:val="center"/>
          </w:tcPr>
          <w:p w14:paraId="16E093A7">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w:t>
            </w:r>
          </w:p>
        </w:tc>
        <w:tc>
          <w:tcPr>
            <w:tcW w:w="1518" w:type="dxa"/>
            <w:vAlign w:val="center"/>
          </w:tcPr>
          <w:p w14:paraId="4FD9525B">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r>
      <w:tr w14:paraId="029605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55321093">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w:t>
            </w:r>
          </w:p>
        </w:tc>
        <w:tc>
          <w:tcPr>
            <w:tcW w:w="1262" w:type="dxa"/>
            <w:vMerge w:val="continue"/>
            <w:vAlign w:val="center"/>
          </w:tcPr>
          <w:p w14:paraId="09215BF6">
            <w:pPr>
              <w:spacing w:after="0" w:line="240" w:lineRule="auto"/>
              <w:jc w:val="center"/>
              <w:rPr>
                <w:rFonts w:hint="eastAsia" w:ascii="宋体" w:hAnsi="宋体" w:eastAsia="宋体" w:cs="宋体"/>
                <w:b w:val="0"/>
                <w:color w:val="auto"/>
                <w:sz w:val="21"/>
                <w:szCs w:val="21"/>
                <w:highlight w:val="none"/>
              </w:rPr>
            </w:pPr>
          </w:p>
        </w:tc>
        <w:tc>
          <w:tcPr>
            <w:tcW w:w="1262" w:type="dxa"/>
            <w:vAlign w:val="center"/>
          </w:tcPr>
          <w:p w14:paraId="24266FAF">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政府监管子系统</w:t>
            </w:r>
          </w:p>
        </w:tc>
        <w:tc>
          <w:tcPr>
            <w:tcW w:w="3534" w:type="dxa"/>
            <w:vAlign w:val="center"/>
          </w:tcPr>
          <w:p w14:paraId="73A3CE5F">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一体化数字监管平台，提供全市托育资源与运营状况的实时数据总览，支持对机构备案、质量评估、补贴发放、健康安全等核心业务进行全流程闭环管理与精准督导，并集成政策发布、培训考核与互动反馈功能。</w:t>
            </w:r>
          </w:p>
        </w:tc>
        <w:tc>
          <w:tcPr>
            <w:tcW w:w="610" w:type="dxa"/>
            <w:vAlign w:val="center"/>
          </w:tcPr>
          <w:p w14:paraId="23D7BE53">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w:t>
            </w:r>
          </w:p>
        </w:tc>
        <w:tc>
          <w:tcPr>
            <w:tcW w:w="1518" w:type="dxa"/>
            <w:vAlign w:val="center"/>
          </w:tcPr>
          <w:p w14:paraId="24CD23CA">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r>
      <w:tr w14:paraId="63C0E0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4C976DB">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3</w:t>
            </w:r>
          </w:p>
        </w:tc>
        <w:tc>
          <w:tcPr>
            <w:tcW w:w="1262" w:type="dxa"/>
            <w:vMerge w:val="continue"/>
            <w:vAlign w:val="center"/>
          </w:tcPr>
          <w:p w14:paraId="19FE23C5">
            <w:pPr>
              <w:spacing w:after="0" w:line="240" w:lineRule="auto"/>
              <w:jc w:val="center"/>
              <w:rPr>
                <w:rFonts w:hint="eastAsia" w:ascii="宋体" w:hAnsi="宋体" w:eastAsia="宋体" w:cs="宋体"/>
                <w:b w:val="0"/>
                <w:color w:val="auto"/>
                <w:sz w:val="21"/>
                <w:szCs w:val="21"/>
                <w:highlight w:val="none"/>
              </w:rPr>
            </w:pPr>
          </w:p>
        </w:tc>
        <w:tc>
          <w:tcPr>
            <w:tcW w:w="1262" w:type="dxa"/>
            <w:vAlign w:val="center"/>
          </w:tcPr>
          <w:p w14:paraId="4F47A1D4">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托育服务机构运营子系统</w:t>
            </w:r>
          </w:p>
        </w:tc>
        <w:tc>
          <w:tcPr>
            <w:tcW w:w="3534" w:type="dxa"/>
            <w:vAlign w:val="center"/>
          </w:tcPr>
          <w:p w14:paraId="3E46DF7B">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为托育园所提供一体化智能管理平台，覆盖招生、教务、健康、财务等核心业务流程的数字化管理，同时支持家园共育与员工成长，其中教师端子系统交付APP端加小程序端。</w:t>
            </w:r>
          </w:p>
        </w:tc>
        <w:tc>
          <w:tcPr>
            <w:tcW w:w="610" w:type="dxa"/>
            <w:vAlign w:val="center"/>
          </w:tcPr>
          <w:p w14:paraId="3B7D1B02">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w:t>
            </w:r>
          </w:p>
        </w:tc>
        <w:tc>
          <w:tcPr>
            <w:tcW w:w="1518" w:type="dxa"/>
            <w:vAlign w:val="center"/>
          </w:tcPr>
          <w:p w14:paraId="2C4E017F">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r>
      <w:tr w14:paraId="2D0839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117961C5">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4</w:t>
            </w:r>
          </w:p>
        </w:tc>
        <w:tc>
          <w:tcPr>
            <w:tcW w:w="1262" w:type="dxa"/>
            <w:vMerge w:val="continue"/>
            <w:vAlign w:val="center"/>
          </w:tcPr>
          <w:p w14:paraId="37532EAF">
            <w:pPr>
              <w:spacing w:after="0" w:line="240" w:lineRule="auto"/>
              <w:jc w:val="center"/>
              <w:rPr>
                <w:rFonts w:hint="eastAsia" w:ascii="宋体" w:hAnsi="宋体" w:eastAsia="宋体" w:cs="宋体"/>
                <w:b w:val="0"/>
                <w:color w:val="auto"/>
                <w:sz w:val="21"/>
                <w:szCs w:val="21"/>
                <w:highlight w:val="none"/>
              </w:rPr>
            </w:pPr>
          </w:p>
        </w:tc>
        <w:tc>
          <w:tcPr>
            <w:tcW w:w="1262" w:type="dxa"/>
            <w:vAlign w:val="center"/>
          </w:tcPr>
          <w:p w14:paraId="3B816B3A">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家长服务子系统</w:t>
            </w:r>
          </w:p>
        </w:tc>
        <w:tc>
          <w:tcPr>
            <w:tcW w:w="3534" w:type="dxa"/>
            <w:vAlign w:val="center"/>
          </w:tcPr>
          <w:p w14:paraId="00023951">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为婴幼儿家庭打造的一站式家园共育平台，它通过实时分享婴幼儿接离园通知、园区班级通知以及婴幼儿托育合同课时消耗情况，周边托育资源查找功能。交付APP端加小程序端。</w:t>
            </w:r>
          </w:p>
        </w:tc>
        <w:tc>
          <w:tcPr>
            <w:tcW w:w="610" w:type="dxa"/>
            <w:vAlign w:val="center"/>
          </w:tcPr>
          <w:p w14:paraId="3D4735FB">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w:t>
            </w:r>
          </w:p>
        </w:tc>
        <w:tc>
          <w:tcPr>
            <w:tcW w:w="1518" w:type="dxa"/>
            <w:vAlign w:val="center"/>
          </w:tcPr>
          <w:p w14:paraId="7DBC59F6">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r>
      <w:tr w14:paraId="3745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DAC63D3">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w:t>
            </w:r>
          </w:p>
        </w:tc>
        <w:tc>
          <w:tcPr>
            <w:tcW w:w="1262" w:type="dxa"/>
            <w:vMerge w:val="restart"/>
            <w:vAlign w:val="center"/>
          </w:tcPr>
          <w:p w14:paraId="0D633F58">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硬件部分</w:t>
            </w:r>
          </w:p>
        </w:tc>
        <w:tc>
          <w:tcPr>
            <w:tcW w:w="1262" w:type="dxa"/>
            <w:shd w:val="clear" w:color="auto" w:fill="auto"/>
            <w:vAlign w:val="center"/>
          </w:tcPr>
          <w:p w14:paraId="5EEBBAE6">
            <w:pPr>
              <w:spacing w:after="0" w:line="240" w:lineRule="auto"/>
              <w:jc w:val="center"/>
              <w:rPr>
                <w:rFonts w:hint="eastAsia" w:ascii="宋体" w:hAnsi="宋体" w:eastAsia="宋体" w:cs="宋体"/>
                <w:color w:val="auto"/>
                <w:sz w:val="21"/>
                <w:szCs w:val="21"/>
                <w:highlight w:val="none"/>
                <w:lang w:val="en-US" w:eastAsia="en-US" w:bidi="ar-SA"/>
              </w:rPr>
            </w:pPr>
            <w:r>
              <w:rPr>
                <w:rFonts w:hint="eastAsia" w:ascii="宋体" w:hAnsi="宋体" w:eastAsia="宋体" w:cs="宋体"/>
                <w:b w:val="0"/>
                <w:color w:val="auto"/>
                <w:sz w:val="21"/>
                <w:szCs w:val="21"/>
                <w:highlight w:val="none"/>
              </w:rPr>
              <w:t>智慧大屏</w:t>
            </w:r>
          </w:p>
        </w:tc>
        <w:tc>
          <w:tcPr>
            <w:tcW w:w="3534" w:type="dxa"/>
            <w:shd w:val="clear" w:color="auto" w:fill="auto"/>
            <w:vAlign w:val="center"/>
          </w:tcPr>
          <w:p w14:paraId="0E34E552">
            <w:pPr>
              <w:spacing w:after="0" w:line="240" w:lineRule="auto"/>
              <w:jc w:val="left"/>
              <w:rPr>
                <w:rFonts w:hint="eastAsia" w:ascii="宋体" w:hAnsi="宋体" w:eastAsia="宋体" w:cs="宋体"/>
                <w:color w:val="auto"/>
                <w:sz w:val="21"/>
                <w:szCs w:val="21"/>
                <w:highlight w:val="none"/>
                <w:lang w:val="en-US" w:eastAsia="en-US" w:bidi="ar-SA"/>
              </w:rPr>
            </w:pPr>
            <w:r>
              <w:rPr>
                <w:rFonts w:hint="eastAsia" w:ascii="宋体" w:hAnsi="宋体" w:eastAsia="宋体" w:cs="宋体"/>
                <w:b w:val="0"/>
                <w:color w:val="auto"/>
                <w:sz w:val="21"/>
                <w:szCs w:val="21"/>
                <w:highlight w:val="none"/>
              </w:rPr>
              <w:t>系统配套的智慧大屏硬件，支持政府端应用配套硬件设备使用相关数据大屏子系统数字化监督管理工作，配套硬件需要支持投屏以及书写、第三方云会议。</w:t>
            </w:r>
          </w:p>
        </w:tc>
        <w:tc>
          <w:tcPr>
            <w:tcW w:w="610" w:type="dxa"/>
            <w:shd w:val="clear" w:color="auto" w:fill="auto"/>
            <w:vAlign w:val="center"/>
          </w:tcPr>
          <w:p w14:paraId="5E8E0DFC">
            <w:pPr>
              <w:spacing w:after="0" w:line="240" w:lineRule="auto"/>
              <w:jc w:val="center"/>
              <w:rPr>
                <w:rFonts w:hint="eastAsia" w:ascii="宋体" w:hAnsi="宋体" w:eastAsia="宋体" w:cs="宋体"/>
                <w:color w:val="auto"/>
                <w:sz w:val="21"/>
                <w:szCs w:val="21"/>
                <w:highlight w:val="none"/>
                <w:lang w:val="en-US" w:eastAsia="en-US" w:bidi="ar-SA"/>
              </w:rPr>
            </w:pPr>
            <w:r>
              <w:rPr>
                <w:rFonts w:hint="eastAsia" w:ascii="宋体" w:hAnsi="宋体" w:eastAsia="宋体" w:cs="宋体"/>
                <w:b w:val="0"/>
                <w:color w:val="auto"/>
                <w:sz w:val="21"/>
                <w:szCs w:val="21"/>
                <w:highlight w:val="none"/>
              </w:rPr>
              <w:t>1</w:t>
            </w:r>
          </w:p>
        </w:tc>
        <w:tc>
          <w:tcPr>
            <w:tcW w:w="1518" w:type="dxa"/>
            <w:shd w:val="clear" w:color="auto" w:fill="auto"/>
            <w:vAlign w:val="center"/>
          </w:tcPr>
          <w:p w14:paraId="3AE45AE8">
            <w:pPr>
              <w:spacing w:after="0" w:line="240" w:lineRule="auto"/>
              <w:jc w:val="center"/>
              <w:rPr>
                <w:rFonts w:hint="eastAsia" w:ascii="宋体" w:hAnsi="宋体" w:eastAsia="宋体" w:cs="宋体"/>
                <w:color w:val="auto"/>
                <w:sz w:val="21"/>
                <w:szCs w:val="21"/>
                <w:highlight w:val="none"/>
                <w:lang w:val="en-US" w:eastAsia="en-US" w:bidi="ar-SA"/>
              </w:rPr>
            </w:pPr>
            <w:r>
              <w:rPr>
                <w:rFonts w:hint="eastAsia" w:ascii="宋体" w:hAnsi="宋体" w:eastAsia="宋体" w:cs="宋体"/>
                <w:b w:val="0"/>
                <w:color w:val="auto"/>
                <w:sz w:val="21"/>
                <w:szCs w:val="21"/>
                <w:highlight w:val="none"/>
              </w:rPr>
              <w:t>台</w:t>
            </w:r>
          </w:p>
        </w:tc>
      </w:tr>
      <w:tr w14:paraId="3322EC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66" w:type="dxa"/>
          </w:tcPr>
          <w:p w14:paraId="20C64389">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6</w:t>
            </w:r>
          </w:p>
        </w:tc>
        <w:tc>
          <w:tcPr>
            <w:tcW w:w="1262" w:type="dxa"/>
            <w:vMerge w:val="continue"/>
            <w:vAlign w:val="center"/>
          </w:tcPr>
          <w:p w14:paraId="60AD737E">
            <w:pPr>
              <w:spacing w:after="0" w:line="240" w:lineRule="auto"/>
              <w:jc w:val="center"/>
              <w:rPr>
                <w:rFonts w:hint="eastAsia" w:ascii="宋体" w:hAnsi="宋体" w:eastAsia="宋体" w:cs="宋体"/>
                <w:b w:val="0"/>
                <w:color w:val="auto"/>
                <w:sz w:val="21"/>
                <w:szCs w:val="21"/>
                <w:highlight w:val="none"/>
                <w:lang w:val="en-US" w:eastAsia="zh-CN"/>
              </w:rPr>
            </w:pPr>
          </w:p>
        </w:tc>
        <w:tc>
          <w:tcPr>
            <w:tcW w:w="6924" w:type="dxa"/>
            <w:gridSpan w:val="4"/>
            <w:vAlign w:val="center"/>
          </w:tcPr>
          <w:p w14:paraId="01A5DE44">
            <w:pPr>
              <w:spacing w:after="0" w:line="24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其他详见硬件需求清单</w:t>
            </w:r>
          </w:p>
        </w:tc>
      </w:tr>
    </w:tbl>
    <w:p w14:paraId="7EF4968D">
      <w:pPr>
        <w:numPr>
          <w:ilvl w:val="0"/>
          <w:numId w:val="0"/>
        </w:numPr>
        <w:jc w:val="left"/>
        <w:rPr>
          <w:rFonts w:hint="eastAsia" w:ascii="宋体" w:hAnsi="宋体" w:eastAsia="宋体" w:cs="宋体"/>
          <w:b/>
          <w:color w:val="auto"/>
          <w:sz w:val="21"/>
          <w:szCs w:val="21"/>
        </w:rPr>
      </w:pPr>
    </w:p>
    <w:p w14:paraId="12BE0081">
      <w:pPr>
        <w:numPr>
          <w:ilvl w:val="0"/>
          <w:numId w:val="13"/>
        </w:num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rPr>
        <w:t>本期平台系统软件功能清单</w:t>
      </w:r>
    </w:p>
    <w:tbl>
      <w:tblPr>
        <w:tblStyle w:val="38"/>
        <w:tblW w:w="88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5"/>
        <w:gridCol w:w="660"/>
        <w:gridCol w:w="975"/>
        <w:gridCol w:w="1860"/>
        <w:gridCol w:w="4632"/>
      </w:tblGrid>
      <w:tr w14:paraId="3BD4C0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9FEB95B">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序号</w:t>
            </w:r>
          </w:p>
        </w:tc>
        <w:tc>
          <w:tcPr>
            <w:tcW w:w="660" w:type="dxa"/>
            <w:vAlign w:val="center"/>
          </w:tcPr>
          <w:p w14:paraId="0042F3E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名称</w:t>
            </w:r>
          </w:p>
        </w:tc>
        <w:tc>
          <w:tcPr>
            <w:tcW w:w="975" w:type="dxa"/>
            <w:vAlign w:val="center"/>
          </w:tcPr>
          <w:p w14:paraId="00B5B51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一级功能</w:t>
            </w:r>
          </w:p>
        </w:tc>
        <w:tc>
          <w:tcPr>
            <w:tcW w:w="1860" w:type="dxa"/>
            <w:vAlign w:val="center"/>
          </w:tcPr>
          <w:p w14:paraId="2CCA680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二级功能</w:t>
            </w:r>
          </w:p>
        </w:tc>
        <w:tc>
          <w:tcPr>
            <w:tcW w:w="4632" w:type="dxa"/>
            <w:vAlign w:val="center"/>
          </w:tcPr>
          <w:p w14:paraId="51AC5BB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b/>
                <w:color w:val="auto"/>
                <w:sz w:val="21"/>
                <w:szCs w:val="21"/>
              </w:rPr>
              <w:t>功能描述</w:t>
            </w:r>
          </w:p>
        </w:tc>
      </w:tr>
      <w:tr w14:paraId="03983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02AB908">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1</w:t>
            </w:r>
          </w:p>
        </w:tc>
        <w:tc>
          <w:tcPr>
            <w:tcW w:w="660" w:type="dxa"/>
            <w:vMerge w:val="restart"/>
            <w:vAlign w:val="center"/>
          </w:tcPr>
          <w:p w14:paraId="5D809BB2">
            <w:pPr>
              <w:snapToGrid w:val="0"/>
              <w:spacing w:before="0" w:after="0" w:line="360" w:lineRule="auto"/>
              <w:ind w:left="113" w:right="113"/>
              <w:jc w:val="center"/>
              <w:rPr>
                <w:rFonts w:hint="eastAsia" w:ascii="宋体" w:hAnsi="宋体" w:eastAsia="宋体" w:cs="宋体"/>
                <w:color w:val="auto"/>
                <w:sz w:val="21"/>
                <w:szCs w:val="21"/>
              </w:rPr>
            </w:pPr>
            <w:r>
              <w:rPr>
                <w:rFonts w:hint="eastAsia" w:ascii="宋体" w:hAnsi="宋体" w:eastAsia="宋体" w:cs="宋体"/>
                <w:color w:val="auto"/>
                <w:sz w:val="21"/>
                <w:szCs w:val="21"/>
              </w:rPr>
              <w:t>数据大屏子系统</w:t>
            </w:r>
          </w:p>
        </w:tc>
        <w:tc>
          <w:tcPr>
            <w:tcW w:w="975" w:type="dxa"/>
            <w:vMerge w:val="restart"/>
            <w:vAlign w:val="center"/>
          </w:tcPr>
          <w:p w14:paraId="641A250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托育服务综合态势大屏</w:t>
            </w:r>
          </w:p>
        </w:tc>
        <w:tc>
          <w:tcPr>
            <w:tcW w:w="1860" w:type="dxa"/>
            <w:vAlign w:val="center"/>
          </w:tcPr>
          <w:p w14:paraId="7656CD6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机构信息管理</w:t>
            </w:r>
          </w:p>
        </w:tc>
        <w:tc>
          <w:tcPr>
            <w:tcW w:w="4632" w:type="dxa"/>
            <w:vAlign w:val="center"/>
          </w:tcPr>
          <w:p w14:paraId="618E4FE6">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展示全市（区）县托育机构的列表、分类统计、机构分布及备案率。</w:t>
            </w:r>
          </w:p>
        </w:tc>
      </w:tr>
      <w:tr w14:paraId="03CCD5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Align w:val="center"/>
          </w:tcPr>
          <w:p w14:paraId="6C47B737">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w:t>
            </w:r>
          </w:p>
        </w:tc>
        <w:tc>
          <w:tcPr>
            <w:tcW w:w="660" w:type="dxa"/>
            <w:vMerge w:val="continue"/>
            <w:vAlign w:val="center"/>
          </w:tcPr>
          <w:p w14:paraId="68F8A1A9">
            <w:pPr>
              <w:spacing w:line="360" w:lineRule="auto"/>
              <w:rPr>
                <w:rFonts w:hint="eastAsia" w:ascii="宋体" w:hAnsi="宋体" w:eastAsia="宋体" w:cs="宋体"/>
                <w:color w:val="auto"/>
                <w:sz w:val="21"/>
                <w:szCs w:val="21"/>
              </w:rPr>
            </w:pPr>
          </w:p>
        </w:tc>
        <w:tc>
          <w:tcPr>
            <w:tcW w:w="975" w:type="dxa"/>
            <w:vMerge w:val="continue"/>
            <w:vAlign w:val="center"/>
          </w:tcPr>
          <w:p w14:paraId="4D98E998">
            <w:pPr>
              <w:spacing w:line="360" w:lineRule="auto"/>
              <w:rPr>
                <w:rFonts w:hint="eastAsia" w:ascii="宋体" w:hAnsi="宋体" w:eastAsia="宋体" w:cs="宋体"/>
                <w:color w:val="auto"/>
                <w:sz w:val="21"/>
                <w:szCs w:val="21"/>
              </w:rPr>
            </w:pPr>
          </w:p>
        </w:tc>
        <w:tc>
          <w:tcPr>
            <w:tcW w:w="1860" w:type="dxa"/>
            <w:vAlign w:val="center"/>
          </w:tcPr>
          <w:p w14:paraId="4B0AEF0D">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婴幼儿信息管理</w:t>
            </w:r>
          </w:p>
        </w:tc>
        <w:tc>
          <w:tcPr>
            <w:tcW w:w="4632" w:type="dxa"/>
            <w:vAlign w:val="center"/>
          </w:tcPr>
          <w:p w14:paraId="0F725D04">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统计并展示全市（区）县0-3岁婴幼儿的总数、年龄分布及各月龄人数。</w:t>
            </w:r>
          </w:p>
        </w:tc>
      </w:tr>
      <w:tr w14:paraId="6260A7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723D04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w:t>
            </w:r>
          </w:p>
        </w:tc>
        <w:tc>
          <w:tcPr>
            <w:tcW w:w="660" w:type="dxa"/>
            <w:vMerge w:val="continue"/>
            <w:vAlign w:val="center"/>
          </w:tcPr>
          <w:p w14:paraId="49A6CFCD">
            <w:pPr>
              <w:spacing w:line="360" w:lineRule="auto"/>
              <w:rPr>
                <w:rFonts w:hint="eastAsia" w:ascii="宋体" w:hAnsi="宋体" w:eastAsia="宋体" w:cs="宋体"/>
                <w:color w:val="auto"/>
                <w:sz w:val="21"/>
                <w:szCs w:val="21"/>
              </w:rPr>
            </w:pPr>
          </w:p>
        </w:tc>
        <w:tc>
          <w:tcPr>
            <w:tcW w:w="975" w:type="dxa"/>
            <w:vMerge w:val="continue"/>
            <w:vAlign w:val="center"/>
          </w:tcPr>
          <w:p w14:paraId="56AA537C">
            <w:pPr>
              <w:spacing w:line="360" w:lineRule="auto"/>
              <w:rPr>
                <w:rFonts w:hint="eastAsia" w:ascii="宋体" w:hAnsi="宋体" w:eastAsia="宋体" w:cs="宋体"/>
                <w:color w:val="auto"/>
                <w:sz w:val="21"/>
                <w:szCs w:val="21"/>
              </w:rPr>
            </w:pPr>
          </w:p>
        </w:tc>
        <w:tc>
          <w:tcPr>
            <w:tcW w:w="1860" w:type="dxa"/>
            <w:vAlign w:val="center"/>
          </w:tcPr>
          <w:p w14:paraId="332F23D2">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托位与入托统计</w:t>
            </w:r>
          </w:p>
        </w:tc>
        <w:tc>
          <w:tcPr>
            <w:tcW w:w="4632" w:type="dxa"/>
            <w:vAlign w:val="center"/>
          </w:tcPr>
          <w:p w14:paraId="221C865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展示全市（区）县总托位数、入托人数、托位使用率、入托率、0-3岁婴幼儿托位占比及普惠托位占比。</w:t>
            </w:r>
          </w:p>
        </w:tc>
      </w:tr>
      <w:tr w14:paraId="1BCFD7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127019B">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4</w:t>
            </w:r>
          </w:p>
        </w:tc>
        <w:tc>
          <w:tcPr>
            <w:tcW w:w="660" w:type="dxa"/>
            <w:vMerge w:val="continue"/>
            <w:vAlign w:val="center"/>
          </w:tcPr>
          <w:p w14:paraId="678175D8">
            <w:pPr>
              <w:spacing w:line="360" w:lineRule="auto"/>
              <w:rPr>
                <w:rFonts w:hint="eastAsia" w:ascii="宋体" w:hAnsi="宋体" w:eastAsia="宋体" w:cs="宋体"/>
                <w:color w:val="auto"/>
                <w:sz w:val="21"/>
                <w:szCs w:val="21"/>
              </w:rPr>
            </w:pPr>
          </w:p>
        </w:tc>
        <w:tc>
          <w:tcPr>
            <w:tcW w:w="975" w:type="dxa"/>
            <w:vMerge w:val="continue"/>
            <w:vAlign w:val="center"/>
          </w:tcPr>
          <w:p w14:paraId="15347EE2">
            <w:pPr>
              <w:spacing w:line="360" w:lineRule="auto"/>
              <w:rPr>
                <w:rFonts w:hint="eastAsia" w:ascii="宋体" w:hAnsi="宋体" w:eastAsia="宋体" w:cs="宋体"/>
                <w:color w:val="auto"/>
                <w:sz w:val="21"/>
                <w:szCs w:val="21"/>
              </w:rPr>
            </w:pPr>
          </w:p>
        </w:tc>
        <w:tc>
          <w:tcPr>
            <w:tcW w:w="1860" w:type="dxa"/>
            <w:vAlign w:val="center"/>
          </w:tcPr>
          <w:p w14:paraId="6818A58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从业人员管理</w:t>
            </w:r>
          </w:p>
        </w:tc>
        <w:tc>
          <w:tcPr>
            <w:tcW w:w="4632" w:type="dxa"/>
            <w:vAlign w:val="center"/>
          </w:tcPr>
          <w:p w14:paraId="0310FEFA">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统计全市（区）县托育机构从业人员总数，并计算持初级及以上资格证人员的比例。</w:t>
            </w:r>
          </w:p>
        </w:tc>
      </w:tr>
      <w:tr w14:paraId="246934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735" w:type="dxa"/>
            <w:vAlign w:val="center"/>
          </w:tcPr>
          <w:p w14:paraId="0FAF07C5">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5</w:t>
            </w:r>
          </w:p>
        </w:tc>
        <w:tc>
          <w:tcPr>
            <w:tcW w:w="660" w:type="dxa"/>
            <w:vMerge w:val="continue"/>
            <w:vAlign w:val="center"/>
          </w:tcPr>
          <w:p w14:paraId="35CCA659">
            <w:pPr>
              <w:spacing w:line="360" w:lineRule="auto"/>
              <w:rPr>
                <w:rFonts w:hint="eastAsia" w:ascii="宋体" w:hAnsi="宋体" w:eastAsia="宋体" w:cs="宋体"/>
                <w:color w:val="auto"/>
                <w:sz w:val="21"/>
                <w:szCs w:val="21"/>
              </w:rPr>
            </w:pPr>
          </w:p>
        </w:tc>
        <w:tc>
          <w:tcPr>
            <w:tcW w:w="975" w:type="dxa"/>
            <w:vMerge w:val="continue"/>
            <w:vAlign w:val="center"/>
          </w:tcPr>
          <w:p w14:paraId="50FF9DEB">
            <w:pPr>
              <w:spacing w:line="360" w:lineRule="auto"/>
              <w:rPr>
                <w:rFonts w:hint="eastAsia" w:ascii="宋体" w:hAnsi="宋体" w:eastAsia="宋体" w:cs="宋体"/>
                <w:color w:val="auto"/>
                <w:sz w:val="21"/>
                <w:szCs w:val="21"/>
              </w:rPr>
            </w:pPr>
          </w:p>
        </w:tc>
        <w:tc>
          <w:tcPr>
            <w:tcW w:w="1860" w:type="dxa"/>
            <w:vAlign w:val="center"/>
          </w:tcPr>
          <w:p w14:paraId="6E056A5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人口与托位指标</w:t>
            </w:r>
          </w:p>
        </w:tc>
        <w:tc>
          <w:tcPr>
            <w:tcW w:w="4632" w:type="dxa"/>
            <w:vAlign w:val="center"/>
          </w:tcPr>
          <w:p w14:paraId="00151F4A">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展示全市（区）县常住人口数，并计算千人托位数等关键指标。</w:t>
            </w:r>
          </w:p>
        </w:tc>
      </w:tr>
      <w:tr w14:paraId="7D8469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1C1739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6</w:t>
            </w:r>
          </w:p>
        </w:tc>
        <w:tc>
          <w:tcPr>
            <w:tcW w:w="660" w:type="dxa"/>
            <w:vMerge w:val="continue"/>
            <w:vAlign w:val="center"/>
          </w:tcPr>
          <w:p w14:paraId="3E33999C">
            <w:pPr>
              <w:spacing w:line="360" w:lineRule="auto"/>
              <w:rPr>
                <w:rFonts w:hint="eastAsia" w:ascii="宋体" w:hAnsi="宋体" w:eastAsia="宋体" w:cs="宋体"/>
                <w:color w:val="auto"/>
                <w:sz w:val="21"/>
                <w:szCs w:val="21"/>
              </w:rPr>
            </w:pPr>
          </w:p>
        </w:tc>
        <w:tc>
          <w:tcPr>
            <w:tcW w:w="975" w:type="dxa"/>
            <w:vMerge w:val="continue"/>
            <w:vAlign w:val="center"/>
          </w:tcPr>
          <w:p w14:paraId="55C2067C">
            <w:pPr>
              <w:spacing w:line="360" w:lineRule="auto"/>
              <w:rPr>
                <w:rFonts w:hint="eastAsia" w:ascii="宋体" w:hAnsi="宋体" w:eastAsia="宋体" w:cs="宋体"/>
                <w:color w:val="auto"/>
                <w:sz w:val="21"/>
                <w:szCs w:val="21"/>
              </w:rPr>
            </w:pPr>
          </w:p>
        </w:tc>
        <w:tc>
          <w:tcPr>
            <w:tcW w:w="1860" w:type="dxa"/>
            <w:vAlign w:val="center"/>
          </w:tcPr>
          <w:p w14:paraId="58A7317D">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运营与服务管理</w:t>
            </w:r>
          </w:p>
        </w:tc>
        <w:tc>
          <w:tcPr>
            <w:tcW w:w="4632" w:type="dxa"/>
            <w:vAlign w:val="center"/>
          </w:tcPr>
          <w:p w14:paraId="4AE4DCE6">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监测并展示全市（区）县婴幼儿的出勤率（区分托育服务机构与幼儿园托班）。</w:t>
            </w:r>
          </w:p>
        </w:tc>
      </w:tr>
      <w:tr w14:paraId="7B34BF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2A85C66">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7</w:t>
            </w:r>
          </w:p>
        </w:tc>
        <w:tc>
          <w:tcPr>
            <w:tcW w:w="660" w:type="dxa"/>
            <w:vMerge w:val="continue"/>
            <w:vAlign w:val="center"/>
          </w:tcPr>
          <w:p w14:paraId="6448988C">
            <w:pPr>
              <w:spacing w:line="360" w:lineRule="auto"/>
              <w:rPr>
                <w:rFonts w:hint="eastAsia" w:ascii="宋体" w:hAnsi="宋体" w:eastAsia="宋体" w:cs="宋体"/>
                <w:color w:val="auto"/>
                <w:sz w:val="21"/>
                <w:szCs w:val="21"/>
              </w:rPr>
            </w:pPr>
          </w:p>
        </w:tc>
        <w:tc>
          <w:tcPr>
            <w:tcW w:w="975" w:type="dxa"/>
            <w:vMerge w:val="continue"/>
            <w:vAlign w:val="center"/>
          </w:tcPr>
          <w:p w14:paraId="18206FE7">
            <w:pPr>
              <w:spacing w:line="360" w:lineRule="auto"/>
              <w:rPr>
                <w:rFonts w:hint="eastAsia" w:ascii="宋体" w:hAnsi="宋体" w:eastAsia="宋体" w:cs="宋体"/>
                <w:color w:val="auto"/>
                <w:sz w:val="21"/>
                <w:szCs w:val="21"/>
              </w:rPr>
            </w:pPr>
          </w:p>
        </w:tc>
        <w:tc>
          <w:tcPr>
            <w:tcW w:w="1860" w:type="dxa"/>
            <w:vAlign w:val="center"/>
          </w:tcPr>
          <w:p w14:paraId="234067B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大屏系统登录功能</w:t>
            </w:r>
          </w:p>
        </w:tc>
        <w:tc>
          <w:tcPr>
            <w:tcW w:w="4632" w:type="dxa"/>
            <w:vAlign w:val="center"/>
          </w:tcPr>
          <w:p w14:paraId="54AE047C">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实现系统账号与密码的登录及登出功能。</w:t>
            </w:r>
          </w:p>
        </w:tc>
      </w:tr>
      <w:tr w14:paraId="1BC698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F3DE123">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8</w:t>
            </w:r>
          </w:p>
        </w:tc>
        <w:tc>
          <w:tcPr>
            <w:tcW w:w="660" w:type="dxa"/>
            <w:vMerge w:val="continue"/>
            <w:vAlign w:val="center"/>
          </w:tcPr>
          <w:p w14:paraId="456C43E0">
            <w:pPr>
              <w:spacing w:line="360" w:lineRule="auto"/>
              <w:rPr>
                <w:rFonts w:hint="eastAsia" w:ascii="宋体" w:hAnsi="宋体" w:eastAsia="宋体" w:cs="宋体"/>
                <w:color w:val="auto"/>
                <w:sz w:val="21"/>
                <w:szCs w:val="21"/>
              </w:rPr>
            </w:pPr>
          </w:p>
        </w:tc>
        <w:tc>
          <w:tcPr>
            <w:tcW w:w="975" w:type="dxa"/>
            <w:vMerge w:val="continue"/>
            <w:vAlign w:val="center"/>
          </w:tcPr>
          <w:p w14:paraId="71207E97">
            <w:pPr>
              <w:spacing w:line="360" w:lineRule="auto"/>
              <w:rPr>
                <w:rFonts w:hint="eastAsia" w:ascii="宋体" w:hAnsi="宋体" w:eastAsia="宋体" w:cs="宋体"/>
                <w:color w:val="auto"/>
                <w:sz w:val="21"/>
                <w:szCs w:val="21"/>
              </w:rPr>
            </w:pPr>
          </w:p>
        </w:tc>
        <w:tc>
          <w:tcPr>
            <w:tcW w:w="1860" w:type="dxa"/>
            <w:vAlign w:val="center"/>
          </w:tcPr>
          <w:p w14:paraId="77F3F888">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大屏系统数据权限控制</w:t>
            </w:r>
          </w:p>
        </w:tc>
        <w:tc>
          <w:tcPr>
            <w:tcW w:w="4632" w:type="dxa"/>
            <w:vAlign w:val="center"/>
          </w:tcPr>
          <w:p w14:paraId="43957E72">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根据用户所属的市、区级权限，控制其在大屏上可查看的数据范围。</w:t>
            </w:r>
          </w:p>
        </w:tc>
      </w:tr>
      <w:tr w14:paraId="2569B6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818A582">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9</w:t>
            </w:r>
          </w:p>
        </w:tc>
        <w:tc>
          <w:tcPr>
            <w:tcW w:w="660" w:type="dxa"/>
            <w:vMerge w:val="restart"/>
            <w:vAlign w:val="center"/>
          </w:tcPr>
          <w:p w14:paraId="6C3E151E">
            <w:pPr>
              <w:snapToGrid w:val="0"/>
              <w:spacing w:before="0" w:after="0" w:line="360" w:lineRule="auto"/>
              <w:ind w:left="113" w:right="113"/>
              <w:jc w:val="center"/>
              <w:rPr>
                <w:rFonts w:hint="eastAsia" w:ascii="宋体" w:hAnsi="宋体" w:eastAsia="宋体" w:cs="宋体"/>
                <w:color w:val="auto"/>
                <w:sz w:val="21"/>
                <w:szCs w:val="21"/>
              </w:rPr>
            </w:pPr>
            <w:r>
              <w:rPr>
                <w:rFonts w:hint="eastAsia" w:ascii="宋体" w:hAnsi="宋体" w:eastAsia="宋体" w:cs="宋体"/>
                <w:color w:val="auto"/>
                <w:sz w:val="21"/>
                <w:szCs w:val="21"/>
              </w:rPr>
              <w:t>政府监管子系统</w:t>
            </w:r>
          </w:p>
        </w:tc>
        <w:tc>
          <w:tcPr>
            <w:tcW w:w="975" w:type="dxa"/>
            <w:vMerge w:val="restart"/>
            <w:vAlign w:val="center"/>
          </w:tcPr>
          <w:p w14:paraId="5182F844">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首页</w:t>
            </w:r>
          </w:p>
        </w:tc>
        <w:tc>
          <w:tcPr>
            <w:tcW w:w="1860" w:type="dxa"/>
            <w:vAlign w:val="center"/>
          </w:tcPr>
          <w:p w14:paraId="735261B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托育数据概览</w:t>
            </w:r>
          </w:p>
        </w:tc>
        <w:tc>
          <w:tcPr>
            <w:tcW w:w="4632" w:type="dxa"/>
            <w:vAlign w:val="center"/>
          </w:tcPr>
          <w:p w14:paraId="21A92C1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集中展示全市核心指标：常住人口、园区数、总托位数、总入托数、千人托位数、托位使用率。</w:t>
            </w:r>
          </w:p>
        </w:tc>
      </w:tr>
      <w:tr w14:paraId="7E4751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83DC978">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0</w:t>
            </w:r>
          </w:p>
        </w:tc>
        <w:tc>
          <w:tcPr>
            <w:tcW w:w="660" w:type="dxa"/>
            <w:vMerge w:val="continue"/>
            <w:vAlign w:val="center"/>
          </w:tcPr>
          <w:p w14:paraId="5457BD51">
            <w:pPr>
              <w:spacing w:line="360" w:lineRule="auto"/>
              <w:rPr>
                <w:rFonts w:hint="eastAsia" w:ascii="宋体" w:hAnsi="宋体" w:eastAsia="宋体" w:cs="宋体"/>
                <w:color w:val="auto"/>
                <w:sz w:val="21"/>
                <w:szCs w:val="21"/>
              </w:rPr>
            </w:pPr>
          </w:p>
        </w:tc>
        <w:tc>
          <w:tcPr>
            <w:tcW w:w="975" w:type="dxa"/>
            <w:vMerge w:val="continue"/>
            <w:vAlign w:val="center"/>
          </w:tcPr>
          <w:p w14:paraId="423F94C4">
            <w:pPr>
              <w:spacing w:line="360" w:lineRule="auto"/>
              <w:rPr>
                <w:rFonts w:hint="eastAsia" w:ascii="宋体" w:hAnsi="宋体" w:eastAsia="宋体" w:cs="宋体"/>
                <w:color w:val="auto"/>
                <w:sz w:val="21"/>
                <w:szCs w:val="21"/>
              </w:rPr>
            </w:pPr>
          </w:p>
        </w:tc>
        <w:tc>
          <w:tcPr>
            <w:tcW w:w="1860" w:type="dxa"/>
            <w:vAlign w:val="center"/>
          </w:tcPr>
          <w:p w14:paraId="6884E31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新增入托数</w:t>
            </w:r>
          </w:p>
        </w:tc>
        <w:tc>
          <w:tcPr>
            <w:tcW w:w="4632" w:type="dxa"/>
            <w:vAlign w:val="center"/>
          </w:tcPr>
          <w:p w14:paraId="70ED0E51">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统计并展示全市今日及周、月、年维度的新增入托婴幼儿数量。</w:t>
            </w:r>
          </w:p>
        </w:tc>
      </w:tr>
      <w:tr w14:paraId="1D5098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3AAA8F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11</w:t>
            </w:r>
          </w:p>
        </w:tc>
        <w:tc>
          <w:tcPr>
            <w:tcW w:w="660" w:type="dxa"/>
            <w:vMerge w:val="continue"/>
            <w:vAlign w:val="center"/>
          </w:tcPr>
          <w:p w14:paraId="4D4B1417">
            <w:pPr>
              <w:spacing w:line="360" w:lineRule="auto"/>
              <w:rPr>
                <w:rFonts w:hint="eastAsia" w:ascii="宋体" w:hAnsi="宋体" w:eastAsia="宋体" w:cs="宋体"/>
                <w:color w:val="auto"/>
                <w:sz w:val="21"/>
                <w:szCs w:val="21"/>
              </w:rPr>
            </w:pPr>
          </w:p>
        </w:tc>
        <w:tc>
          <w:tcPr>
            <w:tcW w:w="975" w:type="dxa"/>
            <w:vMerge w:val="continue"/>
            <w:vAlign w:val="center"/>
          </w:tcPr>
          <w:p w14:paraId="284F9D9E">
            <w:pPr>
              <w:spacing w:line="360" w:lineRule="auto"/>
              <w:rPr>
                <w:rFonts w:hint="eastAsia" w:ascii="宋体" w:hAnsi="宋体" w:eastAsia="宋体" w:cs="宋体"/>
                <w:color w:val="auto"/>
                <w:sz w:val="21"/>
                <w:szCs w:val="21"/>
              </w:rPr>
            </w:pPr>
          </w:p>
        </w:tc>
        <w:tc>
          <w:tcPr>
            <w:tcW w:w="1860" w:type="dxa"/>
            <w:vAlign w:val="center"/>
          </w:tcPr>
          <w:p w14:paraId="5CF94AF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在园人数</w:t>
            </w:r>
          </w:p>
        </w:tc>
        <w:tc>
          <w:tcPr>
            <w:tcW w:w="4632" w:type="dxa"/>
            <w:vAlign w:val="center"/>
          </w:tcPr>
          <w:p w14:paraId="2A7B9FB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统计并展示全市今日及周、月、年维度的在园婴幼儿总数。</w:t>
            </w:r>
          </w:p>
        </w:tc>
      </w:tr>
      <w:tr w14:paraId="57DF4B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81C4FB8">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2</w:t>
            </w:r>
          </w:p>
        </w:tc>
        <w:tc>
          <w:tcPr>
            <w:tcW w:w="660" w:type="dxa"/>
            <w:vMerge w:val="continue"/>
            <w:vAlign w:val="center"/>
          </w:tcPr>
          <w:p w14:paraId="17BE3272">
            <w:pPr>
              <w:spacing w:line="360" w:lineRule="auto"/>
              <w:rPr>
                <w:rFonts w:hint="eastAsia" w:ascii="宋体" w:hAnsi="宋体" w:eastAsia="宋体" w:cs="宋体"/>
                <w:color w:val="auto"/>
                <w:sz w:val="21"/>
                <w:szCs w:val="21"/>
              </w:rPr>
            </w:pPr>
          </w:p>
        </w:tc>
        <w:tc>
          <w:tcPr>
            <w:tcW w:w="975" w:type="dxa"/>
            <w:vMerge w:val="continue"/>
            <w:vAlign w:val="center"/>
          </w:tcPr>
          <w:p w14:paraId="149212EF">
            <w:pPr>
              <w:spacing w:line="360" w:lineRule="auto"/>
              <w:rPr>
                <w:rFonts w:hint="eastAsia" w:ascii="宋体" w:hAnsi="宋体" w:eastAsia="宋体" w:cs="宋体"/>
                <w:color w:val="auto"/>
                <w:sz w:val="21"/>
                <w:szCs w:val="21"/>
              </w:rPr>
            </w:pPr>
          </w:p>
        </w:tc>
        <w:tc>
          <w:tcPr>
            <w:tcW w:w="1860" w:type="dxa"/>
            <w:vAlign w:val="center"/>
          </w:tcPr>
          <w:p w14:paraId="5C6EB14B">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托位使用率</w:t>
            </w:r>
          </w:p>
        </w:tc>
        <w:tc>
          <w:tcPr>
            <w:tcW w:w="4632" w:type="dxa"/>
            <w:vAlign w:val="center"/>
          </w:tcPr>
          <w:p w14:paraId="1EBEBECF">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可视化展示全市范围内各托育机构的托位使用率分布情况。</w:t>
            </w:r>
          </w:p>
        </w:tc>
      </w:tr>
      <w:tr w14:paraId="40EA41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A3C2FD6">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3</w:t>
            </w:r>
          </w:p>
        </w:tc>
        <w:tc>
          <w:tcPr>
            <w:tcW w:w="660" w:type="dxa"/>
            <w:vMerge w:val="continue"/>
            <w:vAlign w:val="center"/>
          </w:tcPr>
          <w:p w14:paraId="12D7EB88">
            <w:pPr>
              <w:spacing w:line="360" w:lineRule="auto"/>
              <w:rPr>
                <w:rFonts w:hint="eastAsia" w:ascii="宋体" w:hAnsi="宋体" w:eastAsia="宋体" w:cs="宋体"/>
                <w:color w:val="auto"/>
                <w:sz w:val="21"/>
                <w:szCs w:val="21"/>
              </w:rPr>
            </w:pPr>
          </w:p>
        </w:tc>
        <w:tc>
          <w:tcPr>
            <w:tcW w:w="975" w:type="dxa"/>
            <w:vMerge w:val="continue"/>
            <w:vAlign w:val="center"/>
          </w:tcPr>
          <w:p w14:paraId="24A0C7A9">
            <w:pPr>
              <w:spacing w:line="360" w:lineRule="auto"/>
              <w:rPr>
                <w:rFonts w:hint="eastAsia" w:ascii="宋体" w:hAnsi="宋体" w:eastAsia="宋体" w:cs="宋体"/>
                <w:color w:val="auto"/>
                <w:sz w:val="21"/>
                <w:szCs w:val="21"/>
              </w:rPr>
            </w:pPr>
          </w:p>
        </w:tc>
        <w:tc>
          <w:tcPr>
            <w:tcW w:w="1860" w:type="dxa"/>
            <w:vAlign w:val="center"/>
          </w:tcPr>
          <w:p w14:paraId="1A0DC784">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健康监测</w:t>
            </w:r>
          </w:p>
        </w:tc>
        <w:tc>
          <w:tcPr>
            <w:tcW w:w="4632" w:type="dxa"/>
            <w:vAlign w:val="center"/>
          </w:tcPr>
          <w:p w14:paraId="66B31C77">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监测全市婴幼儿健康数据，统计并提示健康异常人数。</w:t>
            </w:r>
          </w:p>
        </w:tc>
      </w:tr>
      <w:tr w14:paraId="54097F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747ACD7">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4</w:t>
            </w:r>
          </w:p>
        </w:tc>
        <w:tc>
          <w:tcPr>
            <w:tcW w:w="660" w:type="dxa"/>
            <w:vMerge w:val="continue"/>
            <w:vAlign w:val="center"/>
          </w:tcPr>
          <w:p w14:paraId="1CD9374B">
            <w:pPr>
              <w:spacing w:line="360" w:lineRule="auto"/>
              <w:rPr>
                <w:rFonts w:hint="eastAsia" w:ascii="宋体" w:hAnsi="宋体" w:eastAsia="宋体" w:cs="宋体"/>
                <w:color w:val="auto"/>
                <w:sz w:val="21"/>
                <w:szCs w:val="21"/>
              </w:rPr>
            </w:pPr>
          </w:p>
        </w:tc>
        <w:tc>
          <w:tcPr>
            <w:tcW w:w="975" w:type="dxa"/>
            <w:vMerge w:val="continue"/>
            <w:vAlign w:val="center"/>
          </w:tcPr>
          <w:p w14:paraId="377EF979">
            <w:pPr>
              <w:spacing w:line="360" w:lineRule="auto"/>
              <w:rPr>
                <w:rFonts w:hint="eastAsia" w:ascii="宋体" w:hAnsi="宋体" w:eastAsia="宋体" w:cs="宋体"/>
                <w:color w:val="auto"/>
                <w:sz w:val="21"/>
                <w:szCs w:val="21"/>
              </w:rPr>
            </w:pPr>
          </w:p>
        </w:tc>
        <w:tc>
          <w:tcPr>
            <w:tcW w:w="1860" w:type="dxa"/>
            <w:vAlign w:val="center"/>
          </w:tcPr>
          <w:p w14:paraId="7513B97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年龄分布</w:t>
            </w:r>
          </w:p>
        </w:tc>
        <w:tc>
          <w:tcPr>
            <w:tcW w:w="4632" w:type="dxa"/>
            <w:vAlign w:val="center"/>
          </w:tcPr>
          <w:p w14:paraId="2C366F87">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统计并展示全市0-3岁婴幼儿的年龄阶段分布情况。</w:t>
            </w:r>
          </w:p>
        </w:tc>
      </w:tr>
      <w:tr w14:paraId="72F1DC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2393AAA">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5</w:t>
            </w:r>
          </w:p>
        </w:tc>
        <w:tc>
          <w:tcPr>
            <w:tcW w:w="660" w:type="dxa"/>
            <w:vMerge w:val="continue"/>
            <w:vAlign w:val="center"/>
          </w:tcPr>
          <w:p w14:paraId="0724B9DD">
            <w:pPr>
              <w:spacing w:line="360" w:lineRule="auto"/>
              <w:rPr>
                <w:rFonts w:hint="eastAsia" w:ascii="宋体" w:hAnsi="宋体" w:eastAsia="宋体" w:cs="宋体"/>
                <w:color w:val="auto"/>
                <w:sz w:val="21"/>
                <w:szCs w:val="21"/>
              </w:rPr>
            </w:pPr>
          </w:p>
        </w:tc>
        <w:tc>
          <w:tcPr>
            <w:tcW w:w="975" w:type="dxa"/>
            <w:vMerge w:val="continue"/>
            <w:vAlign w:val="center"/>
          </w:tcPr>
          <w:p w14:paraId="2170FA5D">
            <w:pPr>
              <w:spacing w:line="360" w:lineRule="auto"/>
              <w:rPr>
                <w:rFonts w:hint="eastAsia" w:ascii="宋体" w:hAnsi="宋体" w:eastAsia="宋体" w:cs="宋体"/>
                <w:color w:val="auto"/>
                <w:sz w:val="21"/>
                <w:szCs w:val="21"/>
              </w:rPr>
            </w:pPr>
          </w:p>
        </w:tc>
        <w:tc>
          <w:tcPr>
            <w:tcW w:w="1860" w:type="dxa"/>
            <w:vAlign w:val="center"/>
          </w:tcPr>
          <w:p w14:paraId="72756F4D">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新增园区</w:t>
            </w:r>
          </w:p>
        </w:tc>
        <w:tc>
          <w:tcPr>
            <w:tcW w:w="4632" w:type="dxa"/>
            <w:vAlign w:val="center"/>
          </w:tcPr>
          <w:p w14:paraId="339FF4B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统计并展示全市今日、本周、本月新增的托育机构数量。</w:t>
            </w:r>
          </w:p>
        </w:tc>
      </w:tr>
      <w:tr w14:paraId="7E9A99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3F3A013">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6</w:t>
            </w:r>
          </w:p>
        </w:tc>
        <w:tc>
          <w:tcPr>
            <w:tcW w:w="660" w:type="dxa"/>
            <w:vMerge w:val="continue"/>
            <w:vAlign w:val="center"/>
          </w:tcPr>
          <w:p w14:paraId="5558564F">
            <w:pPr>
              <w:spacing w:line="360" w:lineRule="auto"/>
              <w:rPr>
                <w:rFonts w:hint="eastAsia" w:ascii="宋体" w:hAnsi="宋体" w:eastAsia="宋体" w:cs="宋体"/>
                <w:color w:val="auto"/>
                <w:sz w:val="21"/>
                <w:szCs w:val="21"/>
              </w:rPr>
            </w:pPr>
          </w:p>
        </w:tc>
        <w:tc>
          <w:tcPr>
            <w:tcW w:w="975" w:type="dxa"/>
            <w:vMerge w:val="continue"/>
            <w:vAlign w:val="center"/>
          </w:tcPr>
          <w:p w14:paraId="44C62385">
            <w:pPr>
              <w:spacing w:line="360" w:lineRule="auto"/>
              <w:rPr>
                <w:rFonts w:hint="eastAsia" w:ascii="宋体" w:hAnsi="宋体" w:eastAsia="宋体" w:cs="宋体"/>
                <w:color w:val="auto"/>
                <w:sz w:val="21"/>
                <w:szCs w:val="21"/>
              </w:rPr>
            </w:pPr>
          </w:p>
        </w:tc>
        <w:tc>
          <w:tcPr>
            <w:tcW w:w="1860" w:type="dxa"/>
            <w:vAlign w:val="center"/>
          </w:tcPr>
          <w:p w14:paraId="66A2492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备案数量</w:t>
            </w:r>
          </w:p>
        </w:tc>
        <w:tc>
          <w:tcPr>
            <w:tcW w:w="4632" w:type="dxa"/>
            <w:vAlign w:val="center"/>
          </w:tcPr>
          <w:p w14:paraId="578CFCC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统计并展示全市已备案与未备案的托育机构数量及比例。</w:t>
            </w:r>
          </w:p>
        </w:tc>
      </w:tr>
      <w:tr w14:paraId="40FBBC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FE58303">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7</w:t>
            </w:r>
          </w:p>
        </w:tc>
        <w:tc>
          <w:tcPr>
            <w:tcW w:w="660" w:type="dxa"/>
            <w:vMerge w:val="continue"/>
            <w:vAlign w:val="center"/>
          </w:tcPr>
          <w:p w14:paraId="053703C6">
            <w:pPr>
              <w:spacing w:line="360" w:lineRule="auto"/>
              <w:rPr>
                <w:rFonts w:hint="eastAsia" w:ascii="宋体" w:hAnsi="宋体" w:eastAsia="宋体" w:cs="宋体"/>
                <w:color w:val="auto"/>
                <w:sz w:val="21"/>
                <w:szCs w:val="21"/>
              </w:rPr>
            </w:pPr>
          </w:p>
        </w:tc>
        <w:tc>
          <w:tcPr>
            <w:tcW w:w="975" w:type="dxa"/>
            <w:vMerge w:val="restart"/>
            <w:vAlign w:val="center"/>
          </w:tcPr>
          <w:p w14:paraId="1F2348B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托育数据监管</w:t>
            </w:r>
          </w:p>
        </w:tc>
        <w:tc>
          <w:tcPr>
            <w:tcW w:w="1860" w:type="dxa"/>
            <w:vAlign w:val="center"/>
          </w:tcPr>
          <w:p w14:paraId="59133FD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托位建设统计</w:t>
            </w:r>
          </w:p>
        </w:tc>
        <w:tc>
          <w:tcPr>
            <w:tcW w:w="4632" w:type="dxa"/>
            <w:vAlign w:val="center"/>
          </w:tcPr>
          <w:p w14:paraId="395BDFD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按条件筛选并统计全市</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县托位数、千人托位数等建设指标。</w:t>
            </w:r>
          </w:p>
        </w:tc>
      </w:tr>
      <w:tr w14:paraId="1FE2E7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F742956">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1</w:t>
            </w:r>
            <w:r>
              <w:rPr>
                <w:rFonts w:hint="eastAsia" w:ascii="宋体" w:hAnsi="宋体" w:eastAsia="宋体" w:cs="宋体"/>
                <w:color w:val="auto"/>
                <w:sz w:val="21"/>
                <w:szCs w:val="21"/>
                <w:lang w:val="en-US" w:eastAsia="zh-CN"/>
              </w:rPr>
              <w:t>8</w:t>
            </w:r>
          </w:p>
        </w:tc>
        <w:tc>
          <w:tcPr>
            <w:tcW w:w="660" w:type="dxa"/>
            <w:vMerge w:val="continue"/>
            <w:vAlign w:val="center"/>
          </w:tcPr>
          <w:p w14:paraId="1B3871BC">
            <w:pPr>
              <w:spacing w:line="360" w:lineRule="auto"/>
              <w:rPr>
                <w:rFonts w:hint="eastAsia" w:ascii="宋体" w:hAnsi="宋体" w:eastAsia="宋体" w:cs="宋体"/>
                <w:color w:val="auto"/>
                <w:sz w:val="21"/>
                <w:szCs w:val="21"/>
              </w:rPr>
            </w:pPr>
          </w:p>
        </w:tc>
        <w:tc>
          <w:tcPr>
            <w:tcW w:w="975" w:type="dxa"/>
            <w:vMerge w:val="continue"/>
            <w:vAlign w:val="center"/>
          </w:tcPr>
          <w:p w14:paraId="76051AEB">
            <w:pPr>
              <w:spacing w:line="360" w:lineRule="auto"/>
              <w:rPr>
                <w:rFonts w:hint="eastAsia" w:ascii="宋体" w:hAnsi="宋体" w:eastAsia="宋体" w:cs="宋体"/>
                <w:color w:val="auto"/>
                <w:sz w:val="21"/>
                <w:szCs w:val="21"/>
              </w:rPr>
            </w:pPr>
          </w:p>
        </w:tc>
        <w:tc>
          <w:tcPr>
            <w:tcW w:w="1860" w:type="dxa"/>
            <w:vAlign w:val="center"/>
          </w:tcPr>
          <w:p w14:paraId="2D22556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托位使用统计</w:t>
            </w:r>
          </w:p>
        </w:tc>
        <w:tc>
          <w:tcPr>
            <w:tcW w:w="4632" w:type="dxa"/>
            <w:vAlign w:val="center"/>
          </w:tcPr>
          <w:p w14:paraId="25ACCE7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按条件筛选并统计全市</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区</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rPr>
              <w:t>县托位使用率、托位总数、入托总人数等使用情况。</w:t>
            </w:r>
          </w:p>
        </w:tc>
      </w:tr>
      <w:tr w14:paraId="78CA36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DABF6C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19</w:t>
            </w:r>
          </w:p>
        </w:tc>
        <w:tc>
          <w:tcPr>
            <w:tcW w:w="660" w:type="dxa"/>
            <w:vMerge w:val="continue"/>
            <w:vAlign w:val="center"/>
          </w:tcPr>
          <w:p w14:paraId="3981B33D">
            <w:pPr>
              <w:spacing w:line="360" w:lineRule="auto"/>
              <w:rPr>
                <w:rFonts w:hint="eastAsia" w:ascii="宋体" w:hAnsi="宋体" w:eastAsia="宋体" w:cs="宋体"/>
                <w:color w:val="auto"/>
                <w:sz w:val="21"/>
                <w:szCs w:val="21"/>
              </w:rPr>
            </w:pPr>
          </w:p>
        </w:tc>
        <w:tc>
          <w:tcPr>
            <w:tcW w:w="975" w:type="dxa"/>
            <w:vMerge w:val="continue"/>
            <w:vAlign w:val="center"/>
          </w:tcPr>
          <w:p w14:paraId="5CB89FD1">
            <w:pPr>
              <w:spacing w:line="360" w:lineRule="auto"/>
              <w:rPr>
                <w:rFonts w:hint="eastAsia" w:ascii="宋体" w:hAnsi="宋体" w:eastAsia="宋体" w:cs="宋体"/>
                <w:color w:val="auto"/>
                <w:sz w:val="21"/>
                <w:szCs w:val="21"/>
              </w:rPr>
            </w:pPr>
          </w:p>
        </w:tc>
        <w:tc>
          <w:tcPr>
            <w:tcW w:w="1860" w:type="dxa"/>
            <w:vAlign w:val="center"/>
          </w:tcPr>
          <w:p w14:paraId="2E399737">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备案园统计</w:t>
            </w:r>
          </w:p>
        </w:tc>
        <w:tc>
          <w:tcPr>
            <w:tcW w:w="4632" w:type="dxa"/>
            <w:vAlign w:val="center"/>
          </w:tcPr>
          <w:p w14:paraId="6CA60705">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专项统计已备案机构的托位总数、入托人数及托位使用率。</w:t>
            </w:r>
          </w:p>
        </w:tc>
      </w:tr>
      <w:tr w14:paraId="27632E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F4EEB9E">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20</w:t>
            </w:r>
          </w:p>
        </w:tc>
        <w:tc>
          <w:tcPr>
            <w:tcW w:w="660" w:type="dxa"/>
            <w:vMerge w:val="continue"/>
            <w:vAlign w:val="center"/>
          </w:tcPr>
          <w:p w14:paraId="2ADDF484">
            <w:pPr>
              <w:spacing w:line="360" w:lineRule="auto"/>
              <w:rPr>
                <w:rFonts w:hint="eastAsia" w:ascii="宋体" w:hAnsi="宋体" w:eastAsia="宋体" w:cs="宋体"/>
                <w:color w:val="auto"/>
                <w:sz w:val="21"/>
                <w:szCs w:val="21"/>
              </w:rPr>
            </w:pPr>
          </w:p>
        </w:tc>
        <w:tc>
          <w:tcPr>
            <w:tcW w:w="975" w:type="dxa"/>
            <w:vMerge w:val="continue"/>
            <w:vAlign w:val="center"/>
          </w:tcPr>
          <w:p w14:paraId="05B97BCC">
            <w:pPr>
              <w:spacing w:line="360" w:lineRule="auto"/>
              <w:rPr>
                <w:rFonts w:hint="eastAsia" w:ascii="宋体" w:hAnsi="宋体" w:eastAsia="宋体" w:cs="宋体"/>
                <w:color w:val="auto"/>
                <w:sz w:val="21"/>
                <w:szCs w:val="21"/>
              </w:rPr>
            </w:pPr>
          </w:p>
        </w:tc>
        <w:tc>
          <w:tcPr>
            <w:tcW w:w="1860" w:type="dxa"/>
            <w:vAlign w:val="center"/>
          </w:tcPr>
          <w:p w14:paraId="0843754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托费标准统计</w:t>
            </w:r>
          </w:p>
        </w:tc>
        <w:tc>
          <w:tcPr>
            <w:tcW w:w="4632" w:type="dxa"/>
            <w:vAlign w:val="center"/>
          </w:tcPr>
          <w:p w14:paraId="18F4EB6A">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全市范围内各托育机构</w:t>
            </w:r>
            <w:r>
              <w:rPr>
                <w:rFonts w:hint="eastAsia" w:ascii="宋体" w:hAnsi="宋体" w:eastAsia="宋体" w:cs="宋体"/>
                <w:color w:val="auto"/>
                <w:sz w:val="21"/>
                <w:szCs w:val="21"/>
                <w:lang w:val="en-US" w:eastAsia="zh-CN"/>
              </w:rPr>
              <w:t>平均托费、备案园平均托费、普惠机构平均托费，支持排序及导出。</w:t>
            </w:r>
          </w:p>
        </w:tc>
      </w:tr>
      <w:tr w14:paraId="118B84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8F3965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21</w:t>
            </w:r>
          </w:p>
        </w:tc>
        <w:tc>
          <w:tcPr>
            <w:tcW w:w="660" w:type="dxa"/>
            <w:vMerge w:val="continue"/>
            <w:vAlign w:val="center"/>
          </w:tcPr>
          <w:p w14:paraId="289D762C">
            <w:pPr>
              <w:spacing w:line="360" w:lineRule="auto"/>
              <w:rPr>
                <w:rFonts w:hint="eastAsia" w:ascii="宋体" w:hAnsi="宋体" w:eastAsia="宋体" w:cs="宋体"/>
                <w:color w:val="auto"/>
                <w:sz w:val="21"/>
                <w:szCs w:val="21"/>
              </w:rPr>
            </w:pPr>
          </w:p>
        </w:tc>
        <w:tc>
          <w:tcPr>
            <w:tcW w:w="975" w:type="dxa"/>
            <w:vMerge w:val="continue"/>
            <w:vAlign w:val="center"/>
          </w:tcPr>
          <w:p w14:paraId="2F5DA7A2">
            <w:pPr>
              <w:spacing w:line="360" w:lineRule="auto"/>
              <w:rPr>
                <w:rFonts w:hint="eastAsia" w:ascii="宋体" w:hAnsi="宋体" w:eastAsia="宋体" w:cs="宋体"/>
                <w:color w:val="auto"/>
                <w:sz w:val="21"/>
                <w:szCs w:val="21"/>
              </w:rPr>
            </w:pPr>
          </w:p>
        </w:tc>
        <w:tc>
          <w:tcPr>
            <w:tcW w:w="1860" w:type="dxa"/>
            <w:vAlign w:val="center"/>
          </w:tcPr>
          <w:p w14:paraId="73D168DC">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托育补贴统计</w:t>
            </w:r>
          </w:p>
        </w:tc>
        <w:tc>
          <w:tcPr>
            <w:tcW w:w="4632" w:type="dxa"/>
            <w:vAlign w:val="center"/>
          </w:tcPr>
          <w:p w14:paraId="19D77306">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统计、导出各机构及全市县补贴数据，并生成区县补贴排行榜。</w:t>
            </w:r>
          </w:p>
        </w:tc>
      </w:tr>
      <w:tr w14:paraId="4394F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C9ABC5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22</w:t>
            </w:r>
          </w:p>
        </w:tc>
        <w:tc>
          <w:tcPr>
            <w:tcW w:w="660" w:type="dxa"/>
            <w:vMerge w:val="continue"/>
            <w:vAlign w:val="center"/>
          </w:tcPr>
          <w:p w14:paraId="73DC1D9D">
            <w:pPr>
              <w:spacing w:line="360" w:lineRule="auto"/>
              <w:rPr>
                <w:rFonts w:hint="eastAsia" w:ascii="宋体" w:hAnsi="宋体" w:eastAsia="宋体" w:cs="宋体"/>
                <w:color w:val="auto"/>
                <w:sz w:val="21"/>
                <w:szCs w:val="21"/>
              </w:rPr>
            </w:pPr>
          </w:p>
        </w:tc>
        <w:tc>
          <w:tcPr>
            <w:tcW w:w="975" w:type="dxa"/>
            <w:vMerge w:val="restart"/>
            <w:vAlign w:val="center"/>
          </w:tcPr>
          <w:p w14:paraId="02BA7CF7">
            <w:pPr>
              <w:snapToGrid w:val="0"/>
              <w:spacing w:before="0"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托育质量评估</w:t>
            </w:r>
          </w:p>
        </w:tc>
        <w:tc>
          <w:tcPr>
            <w:tcW w:w="1860" w:type="dxa"/>
            <w:vAlign w:val="center"/>
          </w:tcPr>
          <w:p w14:paraId="7AC69A33">
            <w:pPr>
              <w:snapToGrid w:val="0"/>
              <w:spacing w:before="0"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托育质量评估统计</w:t>
            </w:r>
          </w:p>
        </w:tc>
        <w:tc>
          <w:tcPr>
            <w:tcW w:w="4632" w:type="dxa"/>
            <w:vAlign w:val="center"/>
          </w:tcPr>
          <w:p w14:paraId="4F4DCFBB">
            <w:pPr>
              <w:snapToGrid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统计质量评估申请数量，并展示各评估等级（一、二、三、不定级）的占比。</w:t>
            </w:r>
          </w:p>
        </w:tc>
      </w:tr>
      <w:tr w14:paraId="033CB0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4071DF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23</w:t>
            </w:r>
          </w:p>
        </w:tc>
        <w:tc>
          <w:tcPr>
            <w:tcW w:w="660" w:type="dxa"/>
            <w:vMerge w:val="continue"/>
            <w:vAlign w:val="center"/>
          </w:tcPr>
          <w:p w14:paraId="4519CEC8">
            <w:pPr>
              <w:spacing w:line="360" w:lineRule="auto"/>
              <w:rPr>
                <w:rFonts w:hint="eastAsia" w:ascii="宋体" w:hAnsi="宋体" w:eastAsia="宋体" w:cs="宋体"/>
                <w:color w:val="auto"/>
                <w:sz w:val="21"/>
                <w:szCs w:val="21"/>
              </w:rPr>
            </w:pPr>
          </w:p>
        </w:tc>
        <w:tc>
          <w:tcPr>
            <w:tcW w:w="975" w:type="dxa"/>
            <w:vMerge w:val="continue"/>
            <w:vAlign w:val="center"/>
          </w:tcPr>
          <w:p w14:paraId="2993FEFE">
            <w:pPr>
              <w:spacing w:line="360" w:lineRule="auto"/>
              <w:rPr>
                <w:rFonts w:hint="eastAsia" w:ascii="宋体" w:hAnsi="宋体" w:eastAsia="宋体" w:cs="宋体"/>
                <w:color w:val="auto"/>
                <w:sz w:val="21"/>
                <w:szCs w:val="21"/>
                <w:highlight w:val="none"/>
              </w:rPr>
            </w:pPr>
          </w:p>
        </w:tc>
        <w:tc>
          <w:tcPr>
            <w:tcW w:w="1860" w:type="dxa"/>
            <w:vAlign w:val="center"/>
          </w:tcPr>
          <w:p w14:paraId="54C2E69D">
            <w:pPr>
              <w:snapToGrid w:val="0"/>
              <w:spacing w:before="0"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托育质量评估问卷与得分分布</w:t>
            </w:r>
          </w:p>
        </w:tc>
        <w:tc>
          <w:tcPr>
            <w:tcW w:w="4632" w:type="dxa"/>
            <w:vAlign w:val="center"/>
          </w:tcPr>
          <w:p w14:paraId="686CC879">
            <w:pPr>
              <w:snapToGrid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全生命周期管理评估问卷（新建、编辑、发布），并展示各评估维度的得分分布。</w:t>
            </w:r>
          </w:p>
        </w:tc>
      </w:tr>
      <w:tr w14:paraId="2C2D5A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2785CF8">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24</w:t>
            </w:r>
          </w:p>
        </w:tc>
        <w:tc>
          <w:tcPr>
            <w:tcW w:w="660" w:type="dxa"/>
            <w:vMerge w:val="continue"/>
            <w:vAlign w:val="center"/>
          </w:tcPr>
          <w:p w14:paraId="0CE0CF7D">
            <w:pPr>
              <w:spacing w:line="360" w:lineRule="auto"/>
              <w:rPr>
                <w:rFonts w:hint="eastAsia" w:ascii="宋体" w:hAnsi="宋体" w:eastAsia="宋体" w:cs="宋体"/>
                <w:color w:val="auto"/>
                <w:sz w:val="21"/>
                <w:szCs w:val="21"/>
              </w:rPr>
            </w:pPr>
          </w:p>
        </w:tc>
        <w:tc>
          <w:tcPr>
            <w:tcW w:w="975" w:type="dxa"/>
            <w:vMerge w:val="continue"/>
            <w:vAlign w:val="center"/>
          </w:tcPr>
          <w:p w14:paraId="4545FA20">
            <w:pPr>
              <w:spacing w:line="360" w:lineRule="auto"/>
              <w:rPr>
                <w:rFonts w:hint="eastAsia" w:ascii="宋体" w:hAnsi="宋体" w:eastAsia="宋体" w:cs="宋体"/>
                <w:color w:val="auto"/>
                <w:sz w:val="21"/>
                <w:szCs w:val="21"/>
                <w:highlight w:val="none"/>
              </w:rPr>
            </w:pPr>
          </w:p>
        </w:tc>
        <w:tc>
          <w:tcPr>
            <w:tcW w:w="1860" w:type="dxa"/>
            <w:vAlign w:val="center"/>
          </w:tcPr>
          <w:p w14:paraId="72A0128A">
            <w:pPr>
              <w:snapToGrid w:val="0"/>
              <w:spacing w:before="0"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托育服务机构自评管理</w:t>
            </w:r>
          </w:p>
        </w:tc>
        <w:tc>
          <w:tcPr>
            <w:tcW w:w="4632" w:type="dxa"/>
            <w:vAlign w:val="center"/>
          </w:tcPr>
          <w:p w14:paraId="04244966">
            <w:pPr>
              <w:snapToGrid w:val="0"/>
              <w:spacing w:before="0" w:after="0"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支持条件筛选、查看详情及导出托育机构的自我评估报告。</w:t>
            </w:r>
          </w:p>
        </w:tc>
      </w:tr>
      <w:tr w14:paraId="55A79C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CE63D1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25</w:t>
            </w:r>
          </w:p>
        </w:tc>
        <w:tc>
          <w:tcPr>
            <w:tcW w:w="660" w:type="dxa"/>
            <w:vMerge w:val="continue"/>
            <w:vAlign w:val="center"/>
          </w:tcPr>
          <w:p w14:paraId="422BE04F">
            <w:pPr>
              <w:spacing w:line="360" w:lineRule="auto"/>
              <w:rPr>
                <w:rFonts w:hint="eastAsia" w:ascii="宋体" w:hAnsi="宋体" w:eastAsia="宋体" w:cs="宋体"/>
                <w:color w:val="auto"/>
                <w:sz w:val="21"/>
                <w:szCs w:val="21"/>
              </w:rPr>
            </w:pPr>
          </w:p>
        </w:tc>
        <w:tc>
          <w:tcPr>
            <w:tcW w:w="975" w:type="dxa"/>
            <w:vMerge w:val="restart"/>
            <w:vAlign w:val="center"/>
          </w:tcPr>
          <w:p w14:paraId="292FA247">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机构管理</w:t>
            </w:r>
          </w:p>
        </w:tc>
        <w:tc>
          <w:tcPr>
            <w:tcW w:w="1860" w:type="dxa"/>
            <w:vAlign w:val="center"/>
          </w:tcPr>
          <w:p w14:paraId="4233CF7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托育服务机构列表</w:t>
            </w:r>
          </w:p>
        </w:tc>
        <w:tc>
          <w:tcPr>
            <w:tcW w:w="4632" w:type="dxa"/>
            <w:vAlign w:val="center"/>
          </w:tcPr>
          <w:p w14:paraId="22B3A161">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按条件筛选机构，并查看其核心运营数据（在托人数、班级、考勤、从业人员、系统使用率等），支持导出。</w:t>
            </w:r>
          </w:p>
        </w:tc>
      </w:tr>
      <w:tr w14:paraId="02CA75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FCF4546">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26</w:t>
            </w:r>
          </w:p>
        </w:tc>
        <w:tc>
          <w:tcPr>
            <w:tcW w:w="660" w:type="dxa"/>
            <w:vMerge w:val="continue"/>
            <w:vAlign w:val="center"/>
          </w:tcPr>
          <w:p w14:paraId="36CD1FAC">
            <w:pPr>
              <w:spacing w:line="360" w:lineRule="auto"/>
              <w:rPr>
                <w:rFonts w:hint="eastAsia" w:ascii="宋体" w:hAnsi="宋体" w:eastAsia="宋体" w:cs="宋体"/>
                <w:color w:val="auto"/>
                <w:sz w:val="21"/>
                <w:szCs w:val="21"/>
              </w:rPr>
            </w:pPr>
          </w:p>
        </w:tc>
        <w:tc>
          <w:tcPr>
            <w:tcW w:w="975" w:type="dxa"/>
            <w:vMerge w:val="continue"/>
            <w:vAlign w:val="center"/>
          </w:tcPr>
          <w:p w14:paraId="72C2575D">
            <w:pPr>
              <w:spacing w:line="360" w:lineRule="auto"/>
              <w:jc w:val="center"/>
              <w:rPr>
                <w:rFonts w:hint="eastAsia" w:ascii="宋体" w:hAnsi="宋体" w:eastAsia="宋体" w:cs="宋体"/>
                <w:color w:val="auto"/>
                <w:sz w:val="21"/>
                <w:szCs w:val="21"/>
              </w:rPr>
            </w:pPr>
          </w:p>
        </w:tc>
        <w:tc>
          <w:tcPr>
            <w:tcW w:w="1860" w:type="dxa"/>
            <w:vAlign w:val="center"/>
          </w:tcPr>
          <w:p w14:paraId="133241A4">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机构员工资质管理</w:t>
            </w:r>
          </w:p>
        </w:tc>
        <w:tc>
          <w:tcPr>
            <w:tcW w:w="4632" w:type="dxa"/>
            <w:vAlign w:val="center"/>
          </w:tcPr>
          <w:p w14:paraId="03340B6F">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查询并查看园区在职员工的姓名及其所持有的资质证书信息。</w:t>
            </w:r>
          </w:p>
        </w:tc>
      </w:tr>
      <w:tr w14:paraId="50C01E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AA789A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27</w:t>
            </w:r>
          </w:p>
        </w:tc>
        <w:tc>
          <w:tcPr>
            <w:tcW w:w="660" w:type="dxa"/>
            <w:vMerge w:val="continue"/>
            <w:vAlign w:val="center"/>
          </w:tcPr>
          <w:p w14:paraId="00858CEC">
            <w:pPr>
              <w:spacing w:line="360" w:lineRule="auto"/>
              <w:rPr>
                <w:rFonts w:hint="eastAsia" w:ascii="宋体" w:hAnsi="宋体" w:eastAsia="宋体" w:cs="宋体"/>
                <w:color w:val="auto"/>
                <w:sz w:val="21"/>
                <w:szCs w:val="21"/>
              </w:rPr>
            </w:pPr>
          </w:p>
        </w:tc>
        <w:tc>
          <w:tcPr>
            <w:tcW w:w="975" w:type="dxa"/>
            <w:vAlign w:val="center"/>
          </w:tcPr>
          <w:p w14:paraId="097DFA06">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健康监测</w:t>
            </w:r>
          </w:p>
        </w:tc>
        <w:tc>
          <w:tcPr>
            <w:tcW w:w="1860" w:type="dxa"/>
            <w:vAlign w:val="center"/>
          </w:tcPr>
          <w:p w14:paraId="107652C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健康异常统计</w:t>
            </w:r>
          </w:p>
        </w:tc>
        <w:tc>
          <w:tcPr>
            <w:tcW w:w="4632" w:type="dxa"/>
            <w:vAlign w:val="center"/>
          </w:tcPr>
          <w:p w14:paraId="66944906">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统计在园婴幼儿各类常见疾病的发病次数。</w:t>
            </w:r>
          </w:p>
        </w:tc>
      </w:tr>
      <w:tr w14:paraId="620E1F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1BCC8AC">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28</w:t>
            </w:r>
          </w:p>
        </w:tc>
        <w:tc>
          <w:tcPr>
            <w:tcW w:w="660" w:type="dxa"/>
            <w:vMerge w:val="continue"/>
            <w:vAlign w:val="center"/>
          </w:tcPr>
          <w:p w14:paraId="2CAA11E1">
            <w:pPr>
              <w:spacing w:line="360" w:lineRule="auto"/>
              <w:rPr>
                <w:rFonts w:hint="eastAsia" w:ascii="宋体" w:hAnsi="宋体" w:eastAsia="宋体" w:cs="宋体"/>
                <w:color w:val="auto"/>
                <w:sz w:val="21"/>
                <w:szCs w:val="21"/>
              </w:rPr>
            </w:pPr>
          </w:p>
        </w:tc>
        <w:tc>
          <w:tcPr>
            <w:tcW w:w="975" w:type="dxa"/>
            <w:vMerge w:val="restart"/>
            <w:vAlign w:val="center"/>
          </w:tcPr>
          <w:p w14:paraId="34C6682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考勤管理</w:t>
            </w:r>
          </w:p>
        </w:tc>
        <w:tc>
          <w:tcPr>
            <w:tcW w:w="1860" w:type="dxa"/>
            <w:vAlign w:val="center"/>
          </w:tcPr>
          <w:p w14:paraId="1F9CA54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婴幼儿考勤统计</w:t>
            </w:r>
          </w:p>
        </w:tc>
        <w:tc>
          <w:tcPr>
            <w:tcW w:w="4632" w:type="dxa"/>
            <w:vAlign w:val="center"/>
          </w:tcPr>
          <w:p w14:paraId="4A29385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查看所在园区的婴幼儿考勤统计数据概览。</w:t>
            </w:r>
          </w:p>
        </w:tc>
      </w:tr>
      <w:tr w14:paraId="6B3B3B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CD61A88">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29</w:t>
            </w:r>
          </w:p>
        </w:tc>
        <w:tc>
          <w:tcPr>
            <w:tcW w:w="660" w:type="dxa"/>
            <w:vMerge w:val="continue"/>
            <w:vAlign w:val="center"/>
          </w:tcPr>
          <w:p w14:paraId="1E6C272E">
            <w:pPr>
              <w:spacing w:line="360" w:lineRule="auto"/>
              <w:rPr>
                <w:rFonts w:hint="eastAsia" w:ascii="宋体" w:hAnsi="宋体" w:eastAsia="宋体" w:cs="宋体"/>
                <w:color w:val="auto"/>
                <w:sz w:val="21"/>
                <w:szCs w:val="21"/>
              </w:rPr>
            </w:pPr>
          </w:p>
        </w:tc>
        <w:tc>
          <w:tcPr>
            <w:tcW w:w="975" w:type="dxa"/>
            <w:vMerge w:val="continue"/>
            <w:vAlign w:val="center"/>
          </w:tcPr>
          <w:p w14:paraId="6FCC8EB4">
            <w:pPr>
              <w:spacing w:line="360" w:lineRule="auto"/>
              <w:jc w:val="center"/>
              <w:rPr>
                <w:rFonts w:hint="eastAsia" w:ascii="宋体" w:hAnsi="宋体" w:eastAsia="宋体" w:cs="宋体"/>
                <w:color w:val="auto"/>
                <w:sz w:val="21"/>
                <w:szCs w:val="21"/>
              </w:rPr>
            </w:pPr>
          </w:p>
        </w:tc>
        <w:tc>
          <w:tcPr>
            <w:tcW w:w="1860" w:type="dxa"/>
            <w:vAlign w:val="center"/>
          </w:tcPr>
          <w:p w14:paraId="7D8A5CF4">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每日考勤记录</w:t>
            </w:r>
          </w:p>
        </w:tc>
        <w:tc>
          <w:tcPr>
            <w:tcW w:w="4632" w:type="dxa"/>
            <w:vAlign w:val="center"/>
          </w:tcPr>
          <w:p w14:paraId="4F07D92C">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按月查看园区内所有婴幼儿的每日出勤、事假、病假等详细记录。</w:t>
            </w:r>
          </w:p>
        </w:tc>
      </w:tr>
      <w:tr w14:paraId="310B8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DBB1533">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30</w:t>
            </w:r>
          </w:p>
        </w:tc>
        <w:tc>
          <w:tcPr>
            <w:tcW w:w="660" w:type="dxa"/>
            <w:vMerge w:val="continue"/>
            <w:vAlign w:val="center"/>
          </w:tcPr>
          <w:p w14:paraId="523AB467">
            <w:pPr>
              <w:spacing w:line="360" w:lineRule="auto"/>
              <w:rPr>
                <w:rFonts w:hint="eastAsia" w:ascii="宋体" w:hAnsi="宋体" w:eastAsia="宋体" w:cs="宋体"/>
                <w:color w:val="auto"/>
                <w:sz w:val="21"/>
                <w:szCs w:val="21"/>
              </w:rPr>
            </w:pPr>
          </w:p>
        </w:tc>
        <w:tc>
          <w:tcPr>
            <w:tcW w:w="975" w:type="dxa"/>
            <w:vMerge w:val="continue"/>
            <w:vAlign w:val="center"/>
          </w:tcPr>
          <w:p w14:paraId="4E817B62">
            <w:pPr>
              <w:spacing w:line="360" w:lineRule="auto"/>
              <w:jc w:val="center"/>
              <w:rPr>
                <w:rFonts w:hint="eastAsia" w:ascii="宋体" w:hAnsi="宋体" w:eastAsia="宋体" w:cs="宋体"/>
                <w:color w:val="auto"/>
                <w:sz w:val="21"/>
                <w:szCs w:val="21"/>
              </w:rPr>
            </w:pPr>
          </w:p>
        </w:tc>
        <w:tc>
          <w:tcPr>
            <w:tcW w:w="1860" w:type="dxa"/>
            <w:vAlign w:val="center"/>
          </w:tcPr>
          <w:p w14:paraId="5E3A9ABD">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婴幼儿考勤明细</w:t>
            </w:r>
          </w:p>
        </w:tc>
        <w:tc>
          <w:tcPr>
            <w:tcW w:w="4632" w:type="dxa"/>
            <w:vAlign w:val="center"/>
          </w:tcPr>
          <w:p w14:paraId="624B7984">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导出婴幼儿的考勤统计数据和详细明细数据。</w:t>
            </w:r>
          </w:p>
        </w:tc>
      </w:tr>
      <w:tr w14:paraId="03FA58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B1C26A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31</w:t>
            </w:r>
          </w:p>
        </w:tc>
        <w:tc>
          <w:tcPr>
            <w:tcW w:w="660" w:type="dxa"/>
            <w:vMerge w:val="continue"/>
            <w:vAlign w:val="center"/>
          </w:tcPr>
          <w:p w14:paraId="7D31B0BE">
            <w:pPr>
              <w:spacing w:line="360" w:lineRule="auto"/>
              <w:rPr>
                <w:rFonts w:hint="eastAsia" w:ascii="宋体" w:hAnsi="宋体" w:eastAsia="宋体" w:cs="宋体"/>
                <w:color w:val="auto"/>
                <w:sz w:val="21"/>
                <w:szCs w:val="21"/>
              </w:rPr>
            </w:pPr>
          </w:p>
        </w:tc>
        <w:tc>
          <w:tcPr>
            <w:tcW w:w="975" w:type="dxa"/>
            <w:vMerge w:val="restart"/>
            <w:vAlign w:val="center"/>
          </w:tcPr>
          <w:p w14:paraId="6067B178">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补贴管理</w:t>
            </w:r>
          </w:p>
        </w:tc>
        <w:tc>
          <w:tcPr>
            <w:tcW w:w="1860" w:type="dxa"/>
            <w:vAlign w:val="center"/>
          </w:tcPr>
          <w:p w14:paraId="1635B18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机构运营补贴管理</w:t>
            </w:r>
          </w:p>
        </w:tc>
        <w:tc>
          <w:tcPr>
            <w:tcW w:w="4632" w:type="dxa"/>
            <w:vAlign w:val="center"/>
          </w:tcPr>
          <w:p w14:paraId="564EE272">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管理设置阶段性补贴规则</w:t>
            </w:r>
          </w:p>
        </w:tc>
      </w:tr>
      <w:tr w14:paraId="0AC85C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306FBD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32</w:t>
            </w:r>
          </w:p>
        </w:tc>
        <w:tc>
          <w:tcPr>
            <w:tcW w:w="660" w:type="dxa"/>
            <w:vMerge w:val="continue"/>
            <w:vAlign w:val="center"/>
          </w:tcPr>
          <w:p w14:paraId="15BA9B90">
            <w:pPr>
              <w:spacing w:line="360" w:lineRule="auto"/>
              <w:rPr>
                <w:rFonts w:hint="eastAsia" w:ascii="宋体" w:hAnsi="宋体" w:eastAsia="宋体" w:cs="宋体"/>
                <w:color w:val="auto"/>
                <w:sz w:val="21"/>
                <w:szCs w:val="21"/>
              </w:rPr>
            </w:pPr>
          </w:p>
        </w:tc>
        <w:tc>
          <w:tcPr>
            <w:tcW w:w="975" w:type="dxa"/>
            <w:vMerge w:val="continue"/>
            <w:vAlign w:val="center"/>
          </w:tcPr>
          <w:p w14:paraId="28384E2A">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11CADE2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补助审核</w:t>
            </w:r>
          </w:p>
        </w:tc>
        <w:tc>
          <w:tcPr>
            <w:tcW w:w="4632" w:type="dxa"/>
            <w:vAlign w:val="center"/>
          </w:tcPr>
          <w:p w14:paraId="0EC1DAAA">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审核</w:t>
            </w:r>
            <w:r>
              <w:rPr>
                <w:rFonts w:hint="eastAsia" w:ascii="宋体" w:hAnsi="宋体" w:eastAsia="宋体" w:cs="宋体"/>
                <w:color w:val="auto"/>
                <w:sz w:val="21"/>
                <w:szCs w:val="21"/>
              </w:rPr>
              <w:t>全市范围内各托育机构</w:t>
            </w:r>
            <w:r>
              <w:rPr>
                <w:rFonts w:hint="eastAsia" w:ascii="宋体" w:hAnsi="宋体" w:eastAsia="宋体" w:cs="宋体"/>
                <w:color w:val="auto"/>
                <w:sz w:val="21"/>
                <w:szCs w:val="21"/>
                <w:lang w:val="en-US" w:eastAsia="zh-CN"/>
              </w:rPr>
              <w:t>的</w:t>
            </w:r>
            <w:r>
              <w:rPr>
                <w:rFonts w:hint="eastAsia" w:ascii="宋体" w:hAnsi="宋体" w:eastAsia="宋体" w:cs="宋体"/>
                <w:color w:val="auto"/>
                <w:sz w:val="21"/>
                <w:szCs w:val="21"/>
              </w:rPr>
              <w:t>入托补助申请</w:t>
            </w:r>
            <w:r>
              <w:rPr>
                <w:rFonts w:hint="eastAsia" w:ascii="宋体" w:hAnsi="宋体" w:eastAsia="宋体" w:cs="宋体"/>
                <w:color w:val="auto"/>
                <w:sz w:val="21"/>
                <w:szCs w:val="21"/>
                <w:lang w:val="en-US" w:eastAsia="zh-CN"/>
              </w:rPr>
              <w:t>审核，查看申请机构数、补助总人次及补助总金额。</w:t>
            </w:r>
          </w:p>
        </w:tc>
      </w:tr>
      <w:tr w14:paraId="47AC04E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3115588">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33</w:t>
            </w:r>
          </w:p>
        </w:tc>
        <w:tc>
          <w:tcPr>
            <w:tcW w:w="660" w:type="dxa"/>
            <w:vMerge w:val="continue"/>
            <w:vAlign w:val="center"/>
          </w:tcPr>
          <w:p w14:paraId="6F643660">
            <w:pPr>
              <w:spacing w:line="360" w:lineRule="auto"/>
              <w:rPr>
                <w:rFonts w:hint="eastAsia" w:ascii="宋体" w:hAnsi="宋体" w:eastAsia="宋体" w:cs="宋体"/>
                <w:color w:val="auto"/>
                <w:sz w:val="21"/>
                <w:szCs w:val="21"/>
              </w:rPr>
            </w:pPr>
          </w:p>
        </w:tc>
        <w:tc>
          <w:tcPr>
            <w:tcW w:w="975" w:type="dxa"/>
            <w:vMerge w:val="continue"/>
            <w:vAlign w:val="center"/>
          </w:tcPr>
          <w:p w14:paraId="27DDA923">
            <w:pPr>
              <w:spacing w:line="360" w:lineRule="auto"/>
              <w:rPr>
                <w:rFonts w:hint="eastAsia" w:ascii="宋体" w:hAnsi="宋体" w:eastAsia="宋体" w:cs="宋体"/>
                <w:color w:val="auto"/>
                <w:sz w:val="21"/>
                <w:szCs w:val="21"/>
              </w:rPr>
            </w:pPr>
          </w:p>
        </w:tc>
        <w:tc>
          <w:tcPr>
            <w:tcW w:w="1860" w:type="dxa"/>
            <w:vAlign w:val="center"/>
          </w:tcPr>
          <w:p w14:paraId="076BC295">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补贴人次汇总表</w:t>
            </w:r>
          </w:p>
        </w:tc>
        <w:tc>
          <w:tcPr>
            <w:tcW w:w="4632" w:type="dxa"/>
            <w:vAlign w:val="center"/>
          </w:tcPr>
          <w:p w14:paraId="57926D71">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查看并导出各机构的月度补贴人次及每日出勤明细（含婴幼儿信息、出勤时间）。</w:t>
            </w:r>
          </w:p>
        </w:tc>
      </w:tr>
      <w:tr w14:paraId="49D380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C8C6CBE">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4</w:t>
            </w:r>
          </w:p>
        </w:tc>
        <w:tc>
          <w:tcPr>
            <w:tcW w:w="660" w:type="dxa"/>
            <w:vMerge w:val="continue"/>
            <w:vAlign w:val="center"/>
          </w:tcPr>
          <w:p w14:paraId="306011DF">
            <w:pPr>
              <w:spacing w:line="360" w:lineRule="auto"/>
              <w:rPr>
                <w:rFonts w:hint="eastAsia" w:ascii="宋体" w:hAnsi="宋体" w:eastAsia="宋体" w:cs="宋体"/>
                <w:color w:val="auto"/>
                <w:sz w:val="21"/>
                <w:szCs w:val="21"/>
              </w:rPr>
            </w:pPr>
          </w:p>
        </w:tc>
        <w:tc>
          <w:tcPr>
            <w:tcW w:w="975" w:type="dxa"/>
            <w:vMerge w:val="restart"/>
            <w:vAlign w:val="center"/>
          </w:tcPr>
          <w:p w14:paraId="4EA538A4">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督导巡检管理</w:t>
            </w:r>
          </w:p>
        </w:tc>
        <w:tc>
          <w:tcPr>
            <w:tcW w:w="1860" w:type="dxa"/>
            <w:vAlign w:val="center"/>
          </w:tcPr>
          <w:p w14:paraId="1045D1A6">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线上督导记录</w:t>
            </w:r>
          </w:p>
        </w:tc>
        <w:tc>
          <w:tcPr>
            <w:tcW w:w="4632" w:type="dxa"/>
            <w:vAlign w:val="center"/>
          </w:tcPr>
          <w:p w14:paraId="54BA0649">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支持对线上督导记录进行条件查询、新增、查看及删除操作。</w:t>
            </w:r>
          </w:p>
        </w:tc>
      </w:tr>
      <w:tr w14:paraId="61B5AD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89B09AE">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5</w:t>
            </w:r>
          </w:p>
        </w:tc>
        <w:tc>
          <w:tcPr>
            <w:tcW w:w="660" w:type="dxa"/>
            <w:vMerge w:val="continue"/>
            <w:vAlign w:val="center"/>
          </w:tcPr>
          <w:p w14:paraId="2B239C98">
            <w:pPr>
              <w:spacing w:line="360" w:lineRule="auto"/>
              <w:rPr>
                <w:rFonts w:hint="eastAsia" w:ascii="宋体" w:hAnsi="宋体" w:eastAsia="宋体" w:cs="宋体"/>
                <w:color w:val="auto"/>
                <w:sz w:val="21"/>
                <w:szCs w:val="21"/>
              </w:rPr>
            </w:pPr>
          </w:p>
        </w:tc>
        <w:tc>
          <w:tcPr>
            <w:tcW w:w="975" w:type="dxa"/>
            <w:vMerge w:val="continue"/>
            <w:vAlign w:val="center"/>
          </w:tcPr>
          <w:p w14:paraId="1BF144FC">
            <w:pPr>
              <w:spacing w:line="360" w:lineRule="auto"/>
              <w:rPr>
                <w:rFonts w:hint="eastAsia" w:ascii="宋体" w:hAnsi="宋体" w:eastAsia="宋体" w:cs="宋体"/>
                <w:strike w:val="0"/>
                <w:dstrike w:val="0"/>
                <w:color w:val="auto"/>
                <w:sz w:val="21"/>
                <w:szCs w:val="21"/>
                <w:highlight w:val="none"/>
              </w:rPr>
            </w:pPr>
          </w:p>
        </w:tc>
        <w:tc>
          <w:tcPr>
            <w:tcW w:w="1860" w:type="dxa"/>
            <w:vAlign w:val="center"/>
          </w:tcPr>
          <w:p w14:paraId="4664C9A4">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线下巡检记录</w:t>
            </w:r>
          </w:p>
        </w:tc>
        <w:tc>
          <w:tcPr>
            <w:tcW w:w="4632" w:type="dxa"/>
            <w:vAlign w:val="center"/>
          </w:tcPr>
          <w:p w14:paraId="54034E8E">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支持对线下巡检记录进行条件查询、新增、查看及删除操作。</w:t>
            </w:r>
          </w:p>
        </w:tc>
      </w:tr>
      <w:tr w14:paraId="1EC84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A4ABAD3">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6</w:t>
            </w:r>
          </w:p>
        </w:tc>
        <w:tc>
          <w:tcPr>
            <w:tcW w:w="660" w:type="dxa"/>
            <w:vMerge w:val="continue"/>
            <w:vAlign w:val="center"/>
          </w:tcPr>
          <w:p w14:paraId="419BDA4A">
            <w:pPr>
              <w:spacing w:line="360" w:lineRule="auto"/>
              <w:rPr>
                <w:rFonts w:hint="eastAsia" w:ascii="宋体" w:hAnsi="宋体" w:eastAsia="宋体" w:cs="宋体"/>
                <w:color w:val="auto"/>
                <w:sz w:val="21"/>
                <w:szCs w:val="21"/>
              </w:rPr>
            </w:pPr>
          </w:p>
        </w:tc>
        <w:tc>
          <w:tcPr>
            <w:tcW w:w="975" w:type="dxa"/>
            <w:vMerge w:val="restart"/>
            <w:vAlign w:val="center"/>
          </w:tcPr>
          <w:p w14:paraId="14C8544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信息公示发布</w:t>
            </w:r>
          </w:p>
        </w:tc>
        <w:tc>
          <w:tcPr>
            <w:tcW w:w="1860" w:type="dxa"/>
            <w:vAlign w:val="center"/>
          </w:tcPr>
          <w:p w14:paraId="2623EB06">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政策法规管理</w:t>
            </w:r>
          </w:p>
        </w:tc>
        <w:tc>
          <w:tcPr>
            <w:tcW w:w="4632" w:type="dxa"/>
            <w:vAlign w:val="center"/>
          </w:tcPr>
          <w:p w14:paraId="6BA8468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实现托育政策法规的发布、编辑、删除、查询及列表查看功能。</w:t>
            </w:r>
          </w:p>
        </w:tc>
      </w:tr>
      <w:tr w14:paraId="37A636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DFD75DF">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3</w:t>
            </w:r>
            <w:r>
              <w:rPr>
                <w:rFonts w:hint="eastAsia" w:ascii="宋体" w:hAnsi="宋体" w:eastAsia="宋体" w:cs="宋体"/>
                <w:color w:val="auto"/>
                <w:sz w:val="21"/>
                <w:szCs w:val="21"/>
                <w:lang w:val="en-US" w:eastAsia="zh-CN"/>
              </w:rPr>
              <w:t>7</w:t>
            </w:r>
          </w:p>
        </w:tc>
        <w:tc>
          <w:tcPr>
            <w:tcW w:w="660" w:type="dxa"/>
            <w:vMerge w:val="continue"/>
            <w:vAlign w:val="center"/>
          </w:tcPr>
          <w:p w14:paraId="41168A93">
            <w:pPr>
              <w:spacing w:line="360" w:lineRule="auto"/>
              <w:rPr>
                <w:rFonts w:hint="eastAsia" w:ascii="宋体" w:hAnsi="宋体" w:eastAsia="宋体" w:cs="宋体"/>
                <w:color w:val="auto"/>
                <w:sz w:val="21"/>
                <w:szCs w:val="21"/>
              </w:rPr>
            </w:pPr>
          </w:p>
        </w:tc>
        <w:tc>
          <w:tcPr>
            <w:tcW w:w="975" w:type="dxa"/>
            <w:vMerge w:val="continue"/>
            <w:vAlign w:val="center"/>
          </w:tcPr>
          <w:p w14:paraId="6D91D9B9">
            <w:pPr>
              <w:spacing w:line="360" w:lineRule="auto"/>
              <w:rPr>
                <w:rFonts w:hint="eastAsia" w:ascii="宋体" w:hAnsi="宋体" w:eastAsia="宋体" w:cs="宋体"/>
                <w:color w:val="auto"/>
                <w:sz w:val="21"/>
                <w:szCs w:val="21"/>
              </w:rPr>
            </w:pPr>
          </w:p>
        </w:tc>
        <w:tc>
          <w:tcPr>
            <w:tcW w:w="1860" w:type="dxa"/>
            <w:vAlign w:val="center"/>
          </w:tcPr>
          <w:p w14:paraId="35BBEE3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公示公告管理</w:t>
            </w:r>
          </w:p>
        </w:tc>
        <w:tc>
          <w:tcPr>
            <w:tcW w:w="4632" w:type="dxa"/>
            <w:vAlign w:val="center"/>
          </w:tcPr>
          <w:p w14:paraId="1E20A245">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实现公示公告的发布、编辑、删除、查询及列表查看功能。</w:t>
            </w:r>
          </w:p>
        </w:tc>
      </w:tr>
      <w:tr w14:paraId="1C2680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4FB77F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38</w:t>
            </w:r>
          </w:p>
        </w:tc>
        <w:tc>
          <w:tcPr>
            <w:tcW w:w="660" w:type="dxa"/>
            <w:vMerge w:val="continue"/>
            <w:vAlign w:val="center"/>
          </w:tcPr>
          <w:p w14:paraId="6CB84A84">
            <w:pPr>
              <w:spacing w:line="360" w:lineRule="auto"/>
              <w:rPr>
                <w:rFonts w:hint="eastAsia" w:ascii="宋体" w:hAnsi="宋体" w:eastAsia="宋体" w:cs="宋体"/>
                <w:color w:val="auto"/>
                <w:sz w:val="21"/>
                <w:szCs w:val="21"/>
              </w:rPr>
            </w:pPr>
          </w:p>
        </w:tc>
        <w:tc>
          <w:tcPr>
            <w:tcW w:w="975" w:type="dxa"/>
            <w:vMerge w:val="continue"/>
            <w:vAlign w:val="center"/>
          </w:tcPr>
          <w:p w14:paraId="0238594A">
            <w:pPr>
              <w:spacing w:line="360" w:lineRule="auto"/>
              <w:rPr>
                <w:rFonts w:hint="eastAsia" w:ascii="宋体" w:hAnsi="宋体" w:eastAsia="宋体" w:cs="宋体"/>
                <w:color w:val="auto"/>
                <w:sz w:val="21"/>
                <w:szCs w:val="21"/>
              </w:rPr>
            </w:pPr>
          </w:p>
        </w:tc>
        <w:tc>
          <w:tcPr>
            <w:tcW w:w="1860" w:type="dxa"/>
            <w:vAlign w:val="center"/>
          </w:tcPr>
          <w:p w14:paraId="4D7CB40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新闻动态管理</w:t>
            </w:r>
          </w:p>
        </w:tc>
        <w:tc>
          <w:tcPr>
            <w:tcW w:w="4632" w:type="dxa"/>
            <w:vAlign w:val="center"/>
          </w:tcPr>
          <w:p w14:paraId="11D3844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实现新闻动态的发布、编辑、删除、查询及列表查看功能。</w:t>
            </w:r>
          </w:p>
        </w:tc>
      </w:tr>
      <w:tr w14:paraId="3C4DBE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3C33AE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39</w:t>
            </w:r>
          </w:p>
        </w:tc>
        <w:tc>
          <w:tcPr>
            <w:tcW w:w="660" w:type="dxa"/>
            <w:vMerge w:val="continue"/>
            <w:vAlign w:val="center"/>
          </w:tcPr>
          <w:p w14:paraId="74D62B5D">
            <w:pPr>
              <w:spacing w:line="360" w:lineRule="auto"/>
              <w:rPr>
                <w:rFonts w:hint="eastAsia" w:ascii="宋体" w:hAnsi="宋体" w:eastAsia="宋体" w:cs="宋体"/>
                <w:color w:val="auto"/>
                <w:sz w:val="21"/>
                <w:szCs w:val="21"/>
              </w:rPr>
            </w:pPr>
          </w:p>
        </w:tc>
        <w:tc>
          <w:tcPr>
            <w:tcW w:w="975" w:type="dxa"/>
            <w:vAlign w:val="center"/>
          </w:tcPr>
          <w:p w14:paraId="3D713C9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建议反馈</w:t>
            </w:r>
          </w:p>
        </w:tc>
        <w:tc>
          <w:tcPr>
            <w:tcW w:w="1860" w:type="dxa"/>
            <w:vAlign w:val="center"/>
          </w:tcPr>
          <w:p w14:paraId="22300983">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政务反馈</w:t>
            </w:r>
          </w:p>
        </w:tc>
        <w:tc>
          <w:tcPr>
            <w:tcW w:w="4632" w:type="dxa"/>
            <w:vAlign w:val="center"/>
          </w:tcPr>
          <w:p w14:paraId="438C80E7">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提供在线反馈系统，供机构提交疑问建议，政府端可实时查看与分类处理。</w:t>
            </w:r>
          </w:p>
        </w:tc>
      </w:tr>
      <w:tr w14:paraId="482105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F49C37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40</w:t>
            </w:r>
          </w:p>
        </w:tc>
        <w:tc>
          <w:tcPr>
            <w:tcW w:w="660" w:type="dxa"/>
            <w:vMerge w:val="continue"/>
            <w:vAlign w:val="center"/>
          </w:tcPr>
          <w:p w14:paraId="04938773">
            <w:pPr>
              <w:spacing w:line="360" w:lineRule="auto"/>
              <w:rPr>
                <w:rFonts w:hint="eastAsia" w:ascii="宋体" w:hAnsi="宋体" w:eastAsia="宋体" w:cs="宋体"/>
                <w:color w:val="auto"/>
                <w:sz w:val="21"/>
                <w:szCs w:val="21"/>
              </w:rPr>
            </w:pPr>
          </w:p>
        </w:tc>
        <w:tc>
          <w:tcPr>
            <w:tcW w:w="975" w:type="dxa"/>
            <w:vMerge w:val="restart"/>
            <w:vAlign w:val="center"/>
          </w:tcPr>
          <w:p w14:paraId="2966E842">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托育培训管理</w:t>
            </w:r>
          </w:p>
        </w:tc>
        <w:tc>
          <w:tcPr>
            <w:tcW w:w="1860" w:type="dxa"/>
            <w:vAlign w:val="center"/>
          </w:tcPr>
          <w:p w14:paraId="450EB6C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托育培训统计</w:t>
            </w:r>
          </w:p>
        </w:tc>
        <w:tc>
          <w:tcPr>
            <w:tcW w:w="4632" w:type="dxa"/>
            <w:vAlign w:val="center"/>
          </w:tcPr>
          <w:p w14:paraId="707E0BE1">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按县区、年度等条件统计培训完成情况，并查看完成列表。</w:t>
            </w:r>
          </w:p>
        </w:tc>
      </w:tr>
      <w:tr w14:paraId="76C85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5BB71DC">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1</w:t>
            </w:r>
          </w:p>
        </w:tc>
        <w:tc>
          <w:tcPr>
            <w:tcW w:w="660" w:type="dxa"/>
            <w:vMerge w:val="continue"/>
            <w:vAlign w:val="center"/>
          </w:tcPr>
          <w:p w14:paraId="57BBE9C1">
            <w:pPr>
              <w:spacing w:line="360" w:lineRule="auto"/>
              <w:rPr>
                <w:rFonts w:hint="eastAsia" w:ascii="宋体" w:hAnsi="宋体" w:eastAsia="宋体" w:cs="宋体"/>
                <w:color w:val="auto"/>
                <w:sz w:val="21"/>
                <w:szCs w:val="21"/>
              </w:rPr>
            </w:pPr>
          </w:p>
        </w:tc>
        <w:tc>
          <w:tcPr>
            <w:tcW w:w="975" w:type="dxa"/>
            <w:vMerge w:val="continue"/>
            <w:vAlign w:val="center"/>
          </w:tcPr>
          <w:p w14:paraId="423D37A4">
            <w:pPr>
              <w:spacing w:line="360" w:lineRule="auto"/>
              <w:rPr>
                <w:rFonts w:hint="eastAsia" w:ascii="宋体" w:hAnsi="宋体" w:eastAsia="宋体" w:cs="宋体"/>
                <w:color w:val="auto"/>
                <w:sz w:val="21"/>
                <w:szCs w:val="21"/>
              </w:rPr>
            </w:pPr>
          </w:p>
        </w:tc>
        <w:tc>
          <w:tcPr>
            <w:tcW w:w="1860" w:type="dxa"/>
            <w:vAlign w:val="center"/>
          </w:tcPr>
          <w:p w14:paraId="018121CB">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培训管理</w:t>
            </w:r>
          </w:p>
        </w:tc>
        <w:tc>
          <w:tcPr>
            <w:tcW w:w="4632" w:type="dxa"/>
            <w:vAlign w:val="center"/>
          </w:tcPr>
          <w:p w14:paraId="26C2CE29">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实现培训项目的</w:t>
            </w:r>
            <w:r>
              <w:rPr>
                <w:rFonts w:hint="eastAsia" w:ascii="宋体" w:hAnsi="宋体" w:eastAsia="宋体" w:cs="宋体"/>
                <w:color w:val="auto"/>
                <w:sz w:val="21"/>
                <w:szCs w:val="21"/>
                <w:lang w:val="en-US" w:eastAsia="zh-CN"/>
              </w:rPr>
              <w:t>添加、</w:t>
            </w:r>
            <w:r>
              <w:rPr>
                <w:rFonts w:hint="eastAsia" w:ascii="宋体" w:hAnsi="宋体" w:eastAsia="宋体" w:cs="宋体"/>
                <w:color w:val="auto"/>
                <w:sz w:val="21"/>
                <w:szCs w:val="21"/>
              </w:rPr>
              <w:t>查询、内容查看、发布分享、删除、签到及评分记录管理。</w:t>
            </w:r>
          </w:p>
        </w:tc>
      </w:tr>
      <w:tr w14:paraId="35A0DA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0" w:hRule="atLeast"/>
          <w:jc w:val="center"/>
        </w:trPr>
        <w:tc>
          <w:tcPr>
            <w:tcW w:w="735" w:type="dxa"/>
            <w:vAlign w:val="center"/>
          </w:tcPr>
          <w:p w14:paraId="73571AA9">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2</w:t>
            </w:r>
          </w:p>
        </w:tc>
        <w:tc>
          <w:tcPr>
            <w:tcW w:w="660" w:type="dxa"/>
            <w:vMerge w:val="continue"/>
            <w:vAlign w:val="center"/>
          </w:tcPr>
          <w:p w14:paraId="27EDE0A9">
            <w:pPr>
              <w:spacing w:line="360" w:lineRule="auto"/>
              <w:rPr>
                <w:rFonts w:hint="eastAsia" w:ascii="宋体" w:hAnsi="宋体" w:eastAsia="宋体" w:cs="宋体"/>
                <w:color w:val="auto"/>
                <w:sz w:val="21"/>
                <w:szCs w:val="21"/>
              </w:rPr>
            </w:pPr>
          </w:p>
        </w:tc>
        <w:tc>
          <w:tcPr>
            <w:tcW w:w="975" w:type="dxa"/>
            <w:vMerge w:val="continue"/>
            <w:vAlign w:val="center"/>
          </w:tcPr>
          <w:p w14:paraId="25EF0BF0">
            <w:pPr>
              <w:spacing w:line="360" w:lineRule="auto"/>
              <w:rPr>
                <w:rFonts w:hint="eastAsia" w:ascii="宋体" w:hAnsi="宋体" w:eastAsia="宋体" w:cs="宋体"/>
                <w:color w:val="auto"/>
                <w:sz w:val="21"/>
                <w:szCs w:val="21"/>
              </w:rPr>
            </w:pPr>
          </w:p>
        </w:tc>
        <w:tc>
          <w:tcPr>
            <w:tcW w:w="1860" w:type="dxa"/>
            <w:vAlign w:val="center"/>
          </w:tcPr>
          <w:p w14:paraId="2628E6B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教案管理</w:t>
            </w:r>
          </w:p>
        </w:tc>
        <w:tc>
          <w:tcPr>
            <w:tcW w:w="4632" w:type="dxa"/>
            <w:vAlign w:val="center"/>
          </w:tcPr>
          <w:p w14:paraId="1D49DB81">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实现教案信息的条件查询、添加、查看、修改及删除。</w:t>
            </w:r>
          </w:p>
        </w:tc>
      </w:tr>
      <w:tr w14:paraId="1E964A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B9D854C">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rPr>
              <w:t>4</w:t>
            </w:r>
            <w:r>
              <w:rPr>
                <w:rFonts w:hint="eastAsia" w:ascii="宋体" w:hAnsi="宋体" w:eastAsia="宋体" w:cs="宋体"/>
                <w:color w:val="auto"/>
                <w:sz w:val="21"/>
                <w:szCs w:val="21"/>
                <w:lang w:val="en-US" w:eastAsia="zh-CN"/>
              </w:rPr>
              <w:t>3</w:t>
            </w:r>
          </w:p>
        </w:tc>
        <w:tc>
          <w:tcPr>
            <w:tcW w:w="660" w:type="dxa"/>
            <w:vMerge w:val="continue"/>
            <w:vAlign w:val="center"/>
          </w:tcPr>
          <w:p w14:paraId="264451ED">
            <w:pPr>
              <w:spacing w:line="360" w:lineRule="auto"/>
              <w:rPr>
                <w:rFonts w:hint="eastAsia" w:ascii="宋体" w:hAnsi="宋体" w:eastAsia="宋体" w:cs="宋体"/>
                <w:color w:val="auto"/>
                <w:sz w:val="21"/>
                <w:szCs w:val="21"/>
              </w:rPr>
            </w:pPr>
          </w:p>
        </w:tc>
        <w:tc>
          <w:tcPr>
            <w:tcW w:w="975" w:type="dxa"/>
            <w:vMerge w:val="continue"/>
            <w:vAlign w:val="center"/>
          </w:tcPr>
          <w:p w14:paraId="02BA1F7E">
            <w:pPr>
              <w:spacing w:line="360" w:lineRule="auto"/>
              <w:rPr>
                <w:rFonts w:hint="eastAsia" w:ascii="宋体" w:hAnsi="宋体" w:eastAsia="宋体" w:cs="宋体"/>
                <w:color w:val="auto"/>
                <w:sz w:val="21"/>
                <w:szCs w:val="21"/>
              </w:rPr>
            </w:pPr>
          </w:p>
        </w:tc>
        <w:tc>
          <w:tcPr>
            <w:tcW w:w="1860" w:type="dxa"/>
            <w:vAlign w:val="center"/>
          </w:tcPr>
          <w:p w14:paraId="72EEEEA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在线考试</w:t>
            </w:r>
          </w:p>
        </w:tc>
        <w:tc>
          <w:tcPr>
            <w:tcW w:w="4632" w:type="dxa"/>
            <w:vAlign w:val="center"/>
          </w:tcPr>
          <w:p w14:paraId="1DE9119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实现考试的发布、成绩查询，以及试题的新建、修改、查询和删除。</w:t>
            </w:r>
          </w:p>
        </w:tc>
      </w:tr>
      <w:tr w14:paraId="56E9D7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3BB8FB7">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44</w:t>
            </w:r>
          </w:p>
        </w:tc>
        <w:tc>
          <w:tcPr>
            <w:tcW w:w="660" w:type="dxa"/>
            <w:vMerge w:val="continue"/>
            <w:vAlign w:val="center"/>
          </w:tcPr>
          <w:p w14:paraId="6148232D">
            <w:pPr>
              <w:spacing w:line="360" w:lineRule="auto"/>
              <w:rPr>
                <w:rFonts w:hint="eastAsia" w:ascii="宋体" w:hAnsi="宋体" w:eastAsia="宋体" w:cs="宋体"/>
                <w:color w:val="auto"/>
                <w:sz w:val="21"/>
                <w:szCs w:val="21"/>
              </w:rPr>
            </w:pPr>
          </w:p>
        </w:tc>
        <w:tc>
          <w:tcPr>
            <w:tcW w:w="975" w:type="dxa"/>
            <w:vMerge w:val="continue"/>
            <w:vAlign w:val="center"/>
          </w:tcPr>
          <w:p w14:paraId="6E86BF09">
            <w:pPr>
              <w:spacing w:line="360" w:lineRule="auto"/>
              <w:rPr>
                <w:rFonts w:hint="eastAsia" w:ascii="宋体" w:hAnsi="宋体" w:eastAsia="宋体" w:cs="宋体"/>
                <w:color w:val="auto"/>
                <w:sz w:val="21"/>
                <w:szCs w:val="21"/>
              </w:rPr>
            </w:pPr>
          </w:p>
        </w:tc>
        <w:tc>
          <w:tcPr>
            <w:tcW w:w="1860" w:type="dxa"/>
            <w:vAlign w:val="center"/>
          </w:tcPr>
          <w:p w14:paraId="10E1DEBB">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培训证书管理</w:t>
            </w:r>
          </w:p>
        </w:tc>
        <w:tc>
          <w:tcPr>
            <w:tcW w:w="4632" w:type="dxa"/>
            <w:vAlign w:val="center"/>
          </w:tcPr>
          <w:p w14:paraId="018BA26D">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支持按条件查询、查看及导出托育从业人员的培训证书信息。</w:t>
            </w:r>
          </w:p>
        </w:tc>
      </w:tr>
      <w:tr w14:paraId="31EC73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7AE199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45</w:t>
            </w:r>
          </w:p>
        </w:tc>
        <w:tc>
          <w:tcPr>
            <w:tcW w:w="660" w:type="dxa"/>
            <w:vMerge w:val="continue"/>
            <w:vAlign w:val="center"/>
          </w:tcPr>
          <w:p w14:paraId="43B625A5">
            <w:pPr>
              <w:spacing w:line="360" w:lineRule="auto"/>
              <w:rPr>
                <w:rFonts w:hint="eastAsia" w:ascii="宋体" w:hAnsi="宋体" w:eastAsia="宋体" w:cs="宋体"/>
                <w:color w:val="auto"/>
                <w:sz w:val="21"/>
                <w:szCs w:val="21"/>
              </w:rPr>
            </w:pPr>
          </w:p>
        </w:tc>
        <w:tc>
          <w:tcPr>
            <w:tcW w:w="975" w:type="dxa"/>
            <w:vMerge w:val="restart"/>
            <w:vAlign w:val="center"/>
          </w:tcPr>
          <w:p w14:paraId="796CF0FD">
            <w:pPr>
              <w:spacing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系统管理</w:t>
            </w:r>
          </w:p>
        </w:tc>
        <w:tc>
          <w:tcPr>
            <w:tcW w:w="1860" w:type="dxa"/>
            <w:vAlign w:val="center"/>
          </w:tcPr>
          <w:p w14:paraId="7279F8D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账号管理</w:t>
            </w:r>
          </w:p>
        </w:tc>
        <w:tc>
          <w:tcPr>
            <w:tcW w:w="4632" w:type="dxa"/>
            <w:vAlign w:val="center"/>
          </w:tcPr>
          <w:p w14:paraId="22B64AF3">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实现市区县二级管理员账号管理，创建市级、区县级管理员，以及禁用。</w:t>
            </w:r>
          </w:p>
        </w:tc>
      </w:tr>
      <w:tr w14:paraId="36B5C8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F1B48A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46</w:t>
            </w:r>
          </w:p>
        </w:tc>
        <w:tc>
          <w:tcPr>
            <w:tcW w:w="660" w:type="dxa"/>
            <w:vMerge w:val="continue"/>
            <w:vAlign w:val="center"/>
          </w:tcPr>
          <w:p w14:paraId="25EDD711">
            <w:pPr>
              <w:spacing w:line="360" w:lineRule="auto"/>
              <w:rPr>
                <w:rFonts w:hint="eastAsia" w:ascii="宋体" w:hAnsi="宋体" w:eastAsia="宋体" w:cs="宋体"/>
                <w:color w:val="auto"/>
                <w:sz w:val="21"/>
                <w:szCs w:val="21"/>
              </w:rPr>
            </w:pPr>
          </w:p>
        </w:tc>
        <w:tc>
          <w:tcPr>
            <w:tcW w:w="975" w:type="dxa"/>
            <w:vMerge w:val="continue"/>
            <w:vAlign w:val="center"/>
          </w:tcPr>
          <w:p w14:paraId="4F02B6DA">
            <w:pPr>
              <w:spacing w:line="360" w:lineRule="auto"/>
              <w:rPr>
                <w:rFonts w:hint="eastAsia" w:ascii="宋体" w:hAnsi="宋体" w:eastAsia="宋体" w:cs="宋体"/>
                <w:color w:val="auto"/>
                <w:sz w:val="21"/>
                <w:szCs w:val="21"/>
              </w:rPr>
            </w:pPr>
          </w:p>
        </w:tc>
        <w:tc>
          <w:tcPr>
            <w:tcW w:w="1860" w:type="dxa"/>
            <w:vAlign w:val="center"/>
          </w:tcPr>
          <w:p w14:paraId="6454EE0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权限管理</w:t>
            </w:r>
          </w:p>
        </w:tc>
        <w:tc>
          <w:tcPr>
            <w:tcW w:w="4632" w:type="dxa"/>
            <w:vAlign w:val="center"/>
          </w:tcPr>
          <w:p w14:paraId="4E621C01">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实现市/区县二级权限体系配置与审批流程说明。</w:t>
            </w:r>
          </w:p>
        </w:tc>
      </w:tr>
      <w:tr w14:paraId="33B974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6524E8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47</w:t>
            </w:r>
          </w:p>
        </w:tc>
        <w:tc>
          <w:tcPr>
            <w:tcW w:w="660" w:type="dxa"/>
            <w:vMerge w:val="restart"/>
            <w:vAlign w:val="center"/>
          </w:tcPr>
          <w:p w14:paraId="73626B7C">
            <w:pPr>
              <w:snapToGrid w:val="0"/>
              <w:spacing w:before="0" w:after="0" w:line="360" w:lineRule="auto"/>
              <w:ind w:left="113" w:right="113"/>
              <w:jc w:val="center"/>
              <w:rPr>
                <w:rFonts w:hint="eastAsia" w:ascii="宋体" w:hAnsi="宋体" w:eastAsia="宋体" w:cs="宋体"/>
                <w:color w:val="auto"/>
                <w:sz w:val="21"/>
                <w:szCs w:val="21"/>
              </w:rPr>
            </w:pPr>
            <w:r>
              <w:rPr>
                <w:rFonts w:hint="eastAsia" w:ascii="宋体" w:hAnsi="宋体" w:eastAsia="宋体" w:cs="宋体"/>
                <w:color w:val="auto"/>
                <w:sz w:val="21"/>
                <w:szCs w:val="21"/>
              </w:rPr>
              <w:t>托育服务机构运营子系统</w:t>
            </w:r>
          </w:p>
        </w:tc>
        <w:tc>
          <w:tcPr>
            <w:tcW w:w="975" w:type="dxa"/>
            <w:vMerge w:val="restart"/>
            <w:vAlign w:val="center"/>
          </w:tcPr>
          <w:p w14:paraId="678A3C17">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智慧大屏</w:t>
            </w:r>
          </w:p>
        </w:tc>
        <w:tc>
          <w:tcPr>
            <w:tcW w:w="1860" w:type="dxa"/>
            <w:vAlign w:val="center"/>
          </w:tcPr>
          <w:p w14:paraId="6F1D8E9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园区大屏照片</w:t>
            </w:r>
          </w:p>
        </w:tc>
        <w:tc>
          <w:tcPr>
            <w:tcW w:w="4632" w:type="dxa"/>
            <w:vAlign w:val="center"/>
          </w:tcPr>
          <w:p w14:paraId="2FE1D440">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实时</w:t>
            </w:r>
            <w:r>
              <w:rPr>
                <w:rFonts w:hint="eastAsia" w:ascii="宋体" w:hAnsi="宋体" w:eastAsia="宋体" w:cs="宋体"/>
                <w:color w:val="auto"/>
                <w:sz w:val="21"/>
                <w:szCs w:val="21"/>
              </w:rPr>
              <w:t>展示</w:t>
            </w:r>
            <w:r>
              <w:rPr>
                <w:rFonts w:hint="eastAsia" w:ascii="宋体" w:hAnsi="宋体" w:eastAsia="宋体" w:cs="宋体"/>
                <w:color w:val="auto"/>
                <w:sz w:val="21"/>
                <w:szCs w:val="21"/>
                <w:lang w:val="en-US" w:eastAsia="zh-CN"/>
              </w:rPr>
              <w:t>园区场景活动等</w:t>
            </w:r>
            <w:r>
              <w:rPr>
                <w:rFonts w:hint="eastAsia" w:ascii="宋体" w:hAnsi="宋体" w:eastAsia="宋体" w:cs="宋体"/>
                <w:color w:val="auto"/>
                <w:sz w:val="21"/>
                <w:szCs w:val="21"/>
              </w:rPr>
              <w:t>照片。</w:t>
            </w:r>
          </w:p>
        </w:tc>
      </w:tr>
      <w:tr w14:paraId="077EB93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280EE08">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48</w:t>
            </w:r>
          </w:p>
        </w:tc>
        <w:tc>
          <w:tcPr>
            <w:tcW w:w="660" w:type="dxa"/>
            <w:vMerge w:val="continue"/>
            <w:vAlign w:val="center"/>
          </w:tcPr>
          <w:p w14:paraId="35C441EA">
            <w:pPr>
              <w:spacing w:line="360" w:lineRule="auto"/>
              <w:rPr>
                <w:rFonts w:hint="eastAsia" w:ascii="宋体" w:hAnsi="宋体" w:eastAsia="宋体" w:cs="宋体"/>
                <w:color w:val="auto"/>
                <w:sz w:val="21"/>
                <w:szCs w:val="21"/>
              </w:rPr>
            </w:pPr>
          </w:p>
        </w:tc>
        <w:tc>
          <w:tcPr>
            <w:tcW w:w="975" w:type="dxa"/>
            <w:vMerge w:val="continue"/>
            <w:vAlign w:val="center"/>
          </w:tcPr>
          <w:p w14:paraId="519F5D57">
            <w:pPr>
              <w:spacing w:line="360" w:lineRule="auto"/>
              <w:rPr>
                <w:rFonts w:hint="eastAsia" w:ascii="宋体" w:hAnsi="宋体" w:eastAsia="宋体" w:cs="宋体"/>
                <w:color w:val="auto"/>
                <w:sz w:val="21"/>
                <w:szCs w:val="21"/>
              </w:rPr>
            </w:pPr>
          </w:p>
        </w:tc>
        <w:tc>
          <w:tcPr>
            <w:tcW w:w="1860" w:type="dxa"/>
            <w:vAlign w:val="center"/>
          </w:tcPr>
          <w:p w14:paraId="7E6C95A2">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今日出勤</w:t>
            </w:r>
          </w:p>
        </w:tc>
        <w:tc>
          <w:tcPr>
            <w:tcW w:w="4632" w:type="dxa"/>
            <w:vAlign w:val="center"/>
          </w:tcPr>
          <w:p w14:paraId="1A624D6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实时展示园区的出勤率，实到、请假及未到人数情况统计</w:t>
            </w:r>
            <w:r>
              <w:rPr>
                <w:rFonts w:hint="eastAsia" w:ascii="宋体" w:hAnsi="宋体" w:eastAsia="宋体" w:cs="宋体"/>
                <w:color w:val="auto"/>
                <w:sz w:val="21"/>
                <w:szCs w:val="21"/>
              </w:rPr>
              <w:t>。</w:t>
            </w:r>
          </w:p>
        </w:tc>
      </w:tr>
      <w:tr w14:paraId="019A47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9CB8138">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49</w:t>
            </w:r>
          </w:p>
        </w:tc>
        <w:tc>
          <w:tcPr>
            <w:tcW w:w="660" w:type="dxa"/>
            <w:vMerge w:val="continue"/>
            <w:vAlign w:val="center"/>
          </w:tcPr>
          <w:p w14:paraId="65D47D99">
            <w:pPr>
              <w:spacing w:line="360" w:lineRule="auto"/>
              <w:rPr>
                <w:rFonts w:hint="eastAsia" w:ascii="宋体" w:hAnsi="宋体" w:eastAsia="宋体" w:cs="宋体"/>
                <w:color w:val="auto"/>
                <w:sz w:val="21"/>
                <w:szCs w:val="21"/>
              </w:rPr>
            </w:pPr>
          </w:p>
        </w:tc>
        <w:tc>
          <w:tcPr>
            <w:tcW w:w="975" w:type="dxa"/>
            <w:vMerge w:val="continue"/>
            <w:vAlign w:val="center"/>
          </w:tcPr>
          <w:p w14:paraId="5359916A">
            <w:pPr>
              <w:spacing w:line="360" w:lineRule="auto"/>
              <w:rPr>
                <w:rFonts w:hint="eastAsia" w:ascii="宋体" w:hAnsi="宋体" w:eastAsia="宋体" w:cs="宋体"/>
                <w:color w:val="auto"/>
                <w:sz w:val="21"/>
                <w:szCs w:val="21"/>
              </w:rPr>
            </w:pPr>
          </w:p>
        </w:tc>
        <w:tc>
          <w:tcPr>
            <w:tcW w:w="1860" w:type="dxa"/>
            <w:vAlign w:val="center"/>
          </w:tcPr>
          <w:p w14:paraId="7C3F32F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天气预报</w:t>
            </w:r>
          </w:p>
        </w:tc>
        <w:tc>
          <w:tcPr>
            <w:tcW w:w="4632" w:type="dxa"/>
            <w:vAlign w:val="center"/>
          </w:tcPr>
          <w:p w14:paraId="2C935839">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当天的温度天气情况</w:t>
            </w:r>
            <w:r>
              <w:rPr>
                <w:rFonts w:hint="eastAsia" w:ascii="宋体" w:hAnsi="宋体" w:eastAsia="宋体" w:cs="宋体"/>
                <w:color w:val="auto"/>
                <w:sz w:val="21"/>
                <w:szCs w:val="21"/>
              </w:rPr>
              <w:t>。</w:t>
            </w:r>
          </w:p>
        </w:tc>
      </w:tr>
      <w:tr w14:paraId="58876C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A05F5BE">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50</w:t>
            </w:r>
          </w:p>
        </w:tc>
        <w:tc>
          <w:tcPr>
            <w:tcW w:w="660" w:type="dxa"/>
            <w:vMerge w:val="continue"/>
            <w:vAlign w:val="center"/>
          </w:tcPr>
          <w:p w14:paraId="5749D822">
            <w:pPr>
              <w:spacing w:line="360" w:lineRule="auto"/>
              <w:rPr>
                <w:rFonts w:hint="eastAsia" w:ascii="宋体" w:hAnsi="宋体" w:eastAsia="宋体" w:cs="宋体"/>
                <w:color w:val="auto"/>
                <w:sz w:val="21"/>
                <w:szCs w:val="21"/>
              </w:rPr>
            </w:pPr>
          </w:p>
        </w:tc>
        <w:tc>
          <w:tcPr>
            <w:tcW w:w="975" w:type="dxa"/>
            <w:vMerge w:val="continue"/>
            <w:vAlign w:val="center"/>
          </w:tcPr>
          <w:p w14:paraId="40E31546">
            <w:pPr>
              <w:spacing w:line="360" w:lineRule="auto"/>
              <w:rPr>
                <w:rFonts w:hint="eastAsia" w:ascii="宋体" w:hAnsi="宋体" w:eastAsia="宋体" w:cs="宋体"/>
                <w:color w:val="auto"/>
                <w:sz w:val="21"/>
                <w:szCs w:val="21"/>
              </w:rPr>
            </w:pPr>
          </w:p>
        </w:tc>
        <w:tc>
          <w:tcPr>
            <w:tcW w:w="1860" w:type="dxa"/>
            <w:vAlign w:val="center"/>
          </w:tcPr>
          <w:p w14:paraId="7CCA4C46">
            <w:pPr>
              <w:snapToGrid w:val="0"/>
              <w:spacing w:before="0" w:after="0" w:line="360" w:lineRule="auto"/>
              <w:jc w:val="center"/>
              <w:rPr>
                <w:rFonts w:hint="eastAsia" w:ascii="宋体" w:hAnsi="宋体" w:eastAsia="宋体" w:cs="宋体"/>
                <w:color w:val="auto"/>
                <w:sz w:val="21"/>
                <w:szCs w:val="21"/>
                <w:lang w:eastAsia="zh-CN"/>
              </w:rPr>
            </w:pPr>
            <w:r>
              <w:rPr>
                <w:rFonts w:hint="eastAsia" w:ascii="宋体" w:hAnsi="宋体" w:eastAsia="宋体" w:cs="宋体"/>
                <w:color w:val="auto"/>
                <w:sz w:val="21"/>
                <w:szCs w:val="21"/>
                <w:lang w:val="en-US" w:eastAsia="zh-CN"/>
              </w:rPr>
              <w:t>日历</w:t>
            </w:r>
          </w:p>
        </w:tc>
        <w:tc>
          <w:tcPr>
            <w:tcW w:w="4632" w:type="dxa"/>
            <w:vAlign w:val="center"/>
          </w:tcPr>
          <w:p w14:paraId="5BDCE964">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日历及时间展示</w:t>
            </w:r>
            <w:r>
              <w:rPr>
                <w:rFonts w:hint="eastAsia" w:ascii="宋体" w:hAnsi="宋体" w:eastAsia="宋体" w:cs="宋体"/>
                <w:color w:val="auto"/>
                <w:sz w:val="21"/>
                <w:szCs w:val="21"/>
              </w:rPr>
              <w:t>。</w:t>
            </w:r>
          </w:p>
        </w:tc>
      </w:tr>
      <w:tr w14:paraId="615BA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76C77A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51</w:t>
            </w:r>
          </w:p>
        </w:tc>
        <w:tc>
          <w:tcPr>
            <w:tcW w:w="660" w:type="dxa"/>
            <w:vMerge w:val="continue"/>
            <w:vAlign w:val="center"/>
          </w:tcPr>
          <w:p w14:paraId="377A12A7">
            <w:pPr>
              <w:spacing w:line="360" w:lineRule="auto"/>
              <w:rPr>
                <w:rFonts w:hint="eastAsia" w:ascii="宋体" w:hAnsi="宋体" w:eastAsia="宋体" w:cs="宋体"/>
                <w:color w:val="auto"/>
                <w:sz w:val="21"/>
                <w:szCs w:val="21"/>
              </w:rPr>
            </w:pPr>
          </w:p>
        </w:tc>
        <w:tc>
          <w:tcPr>
            <w:tcW w:w="975" w:type="dxa"/>
            <w:vMerge w:val="continue"/>
            <w:vAlign w:val="center"/>
          </w:tcPr>
          <w:p w14:paraId="50C35D36">
            <w:pPr>
              <w:spacing w:line="360" w:lineRule="auto"/>
              <w:rPr>
                <w:rFonts w:hint="eastAsia" w:ascii="宋体" w:hAnsi="宋体" w:eastAsia="宋体" w:cs="宋体"/>
                <w:color w:val="auto"/>
                <w:sz w:val="21"/>
                <w:szCs w:val="21"/>
              </w:rPr>
            </w:pPr>
          </w:p>
        </w:tc>
        <w:tc>
          <w:tcPr>
            <w:tcW w:w="1860" w:type="dxa"/>
            <w:vAlign w:val="center"/>
          </w:tcPr>
          <w:p w14:paraId="7CB52A0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今日晨检</w:t>
            </w:r>
          </w:p>
        </w:tc>
        <w:tc>
          <w:tcPr>
            <w:tcW w:w="4632" w:type="dxa"/>
            <w:vAlign w:val="center"/>
          </w:tcPr>
          <w:p w14:paraId="12CD004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实时展示园区当天的晨检完成情况</w:t>
            </w:r>
            <w:r>
              <w:rPr>
                <w:rFonts w:hint="eastAsia" w:ascii="宋体" w:hAnsi="宋体" w:eastAsia="宋体" w:cs="宋体"/>
                <w:color w:val="auto"/>
                <w:sz w:val="21"/>
                <w:szCs w:val="21"/>
              </w:rPr>
              <w:t>。</w:t>
            </w:r>
          </w:p>
        </w:tc>
      </w:tr>
      <w:tr w14:paraId="5D9379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3A028AD">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52</w:t>
            </w:r>
          </w:p>
        </w:tc>
        <w:tc>
          <w:tcPr>
            <w:tcW w:w="660" w:type="dxa"/>
            <w:vMerge w:val="continue"/>
            <w:vAlign w:val="center"/>
          </w:tcPr>
          <w:p w14:paraId="644CFCE0">
            <w:pPr>
              <w:spacing w:line="360" w:lineRule="auto"/>
              <w:rPr>
                <w:rFonts w:hint="eastAsia" w:ascii="宋体" w:hAnsi="宋体" w:eastAsia="宋体" w:cs="宋体"/>
                <w:color w:val="auto"/>
                <w:sz w:val="21"/>
                <w:szCs w:val="21"/>
              </w:rPr>
            </w:pPr>
          </w:p>
        </w:tc>
        <w:tc>
          <w:tcPr>
            <w:tcW w:w="975" w:type="dxa"/>
            <w:vMerge w:val="continue"/>
            <w:vAlign w:val="center"/>
          </w:tcPr>
          <w:p w14:paraId="11E67A62">
            <w:pPr>
              <w:spacing w:line="360" w:lineRule="auto"/>
              <w:rPr>
                <w:rFonts w:hint="eastAsia" w:ascii="宋体" w:hAnsi="宋体" w:eastAsia="宋体" w:cs="宋体"/>
                <w:color w:val="auto"/>
                <w:sz w:val="21"/>
                <w:szCs w:val="21"/>
              </w:rPr>
            </w:pPr>
          </w:p>
        </w:tc>
        <w:tc>
          <w:tcPr>
            <w:tcW w:w="1860" w:type="dxa"/>
            <w:vAlign w:val="center"/>
          </w:tcPr>
          <w:p w14:paraId="4B9EE27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今日食谱</w:t>
            </w:r>
          </w:p>
        </w:tc>
        <w:tc>
          <w:tcPr>
            <w:tcW w:w="4632" w:type="dxa"/>
            <w:vAlign w:val="center"/>
          </w:tcPr>
          <w:p w14:paraId="681A7920">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实时展示园区当天的食谱展示。</w:t>
            </w:r>
          </w:p>
        </w:tc>
      </w:tr>
      <w:tr w14:paraId="0294B9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D00A28E">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53</w:t>
            </w:r>
          </w:p>
        </w:tc>
        <w:tc>
          <w:tcPr>
            <w:tcW w:w="660" w:type="dxa"/>
            <w:vMerge w:val="continue"/>
            <w:vAlign w:val="center"/>
          </w:tcPr>
          <w:p w14:paraId="5084848F">
            <w:pPr>
              <w:spacing w:line="360" w:lineRule="auto"/>
              <w:rPr>
                <w:rFonts w:hint="eastAsia" w:ascii="宋体" w:hAnsi="宋体" w:eastAsia="宋体" w:cs="宋体"/>
                <w:color w:val="auto"/>
                <w:sz w:val="21"/>
                <w:szCs w:val="21"/>
              </w:rPr>
            </w:pPr>
          </w:p>
        </w:tc>
        <w:tc>
          <w:tcPr>
            <w:tcW w:w="975" w:type="dxa"/>
            <w:vMerge w:val="continue"/>
            <w:vAlign w:val="center"/>
          </w:tcPr>
          <w:p w14:paraId="069831AC">
            <w:pPr>
              <w:spacing w:line="360" w:lineRule="auto"/>
              <w:rPr>
                <w:rFonts w:hint="eastAsia" w:ascii="宋体" w:hAnsi="宋体" w:eastAsia="宋体" w:cs="宋体"/>
                <w:color w:val="auto"/>
                <w:sz w:val="21"/>
                <w:szCs w:val="21"/>
              </w:rPr>
            </w:pPr>
          </w:p>
        </w:tc>
        <w:tc>
          <w:tcPr>
            <w:tcW w:w="1860" w:type="dxa"/>
            <w:vAlign w:val="center"/>
          </w:tcPr>
          <w:p w14:paraId="1BB1A34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今日课程</w:t>
            </w:r>
          </w:p>
        </w:tc>
        <w:tc>
          <w:tcPr>
            <w:tcW w:w="4632" w:type="dxa"/>
            <w:vAlign w:val="center"/>
          </w:tcPr>
          <w:p w14:paraId="1E9AF61E">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实时展示园区的当天课程计划安排情况。</w:t>
            </w:r>
          </w:p>
        </w:tc>
      </w:tr>
      <w:tr w14:paraId="62E0C3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390A4A5">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54</w:t>
            </w:r>
          </w:p>
        </w:tc>
        <w:tc>
          <w:tcPr>
            <w:tcW w:w="660" w:type="dxa"/>
            <w:vMerge w:val="continue"/>
            <w:vAlign w:val="center"/>
          </w:tcPr>
          <w:p w14:paraId="4DF83A21">
            <w:pPr>
              <w:spacing w:line="360" w:lineRule="auto"/>
              <w:rPr>
                <w:rFonts w:hint="eastAsia" w:ascii="宋体" w:hAnsi="宋体" w:eastAsia="宋体" w:cs="宋体"/>
                <w:color w:val="auto"/>
                <w:sz w:val="21"/>
                <w:szCs w:val="21"/>
              </w:rPr>
            </w:pPr>
          </w:p>
        </w:tc>
        <w:tc>
          <w:tcPr>
            <w:tcW w:w="975" w:type="dxa"/>
            <w:vMerge w:val="restart"/>
            <w:vAlign w:val="center"/>
          </w:tcPr>
          <w:p w14:paraId="4E374FC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首页</w:t>
            </w:r>
          </w:p>
        </w:tc>
        <w:tc>
          <w:tcPr>
            <w:tcW w:w="1860" w:type="dxa"/>
            <w:vAlign w:val="center"/>
          </w:tcPr>
          <w:p w14:paraId="26C102E2">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操作指引</w:t>
            </w:r>
          </w:p>
        </w:tc>
        <w:tc>
          <w:tcPr>
            <w:tcW w:w="4632" w:type="dxa"/>
            <w:vAlign w:val="center"/>
          </w:tcPr>
          <w:p w14:paraId="1BB86758">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园区资料填写、设置班级、录入老师、录入宝宝和完善机构主页。</w:t>
            </w:r>
          </w:p>
        </w:tc>
      </w:tr>
      <w:tr w14:paraId="68EE8F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7F2091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55</w:t>
            </w:r>
          </w:p>
        </w:tc>
        <w:tc>
          <w:tcPr>
            <w:tcW w:w="660" w:type="dxa"/>
            <w:vMerge w:val="continue"/>
            <w:vAlign w:val="center"/>
          </w:tcPr>
          <w:p w14:paraId="13DE2322">
            <w:pPr>
              <w:spacing w:line="360" w:lineRule="auto"/>
              <w:rPr>
                <w:rFonts w:hint="eastAsia" w:ascii="宋体" w:hAnsi="宋体" w:eastAsia="宋体" w:cs="宋体"/>
                <w:color w:val="auto"/>
                <w:sz w:val="21"/>
                <w:szCs w:val="21"/>
              </w:rPr>
            </w:pPr>
          </w:p>
        </w:tc>
        <w:tc>
          <w:tcPr>
            <w:tcW w:w="975" w:type="dxa"/>
            <w:vMerge w:val="continue"/>
            <w:vAlign w:val="center"/>
          </w:tcPr>
          <w:p w14:paraId="3634544C">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1822594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待办事项</w:t>
            </w:r>
          </w:p>
        </w:tc>
        <w:tc>
          <w:tcPr>
            <w:tcW w:w="4632" w:type="dxa"/>
            <w:vAlign w:val="center"/>
          </w:tcPr>
          <w:p w14:paraId="1B104F96">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家长嘱托、合同将到期、留言咨询、老师请假事项展示。</w:t>
            </w:r>
          </w:p>
        </w:tc>
      </w:tr>
      <w:tr w14:paraId="14CF23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3451C8E">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56</w:t>
            </w:r>
          </w:p>
        </w:tc>
        <w:tc>
          <w:tcPr>
            <w:tcW w:w="660" w:type="dxa"/>
            <w:vMerge w:val="continue"/>
            <w:vAlign w:val="center"/>
          </w:tcPr>
          <w:p w14:paraId="0F141C64">
            <w:pPr>
              <w:spacing w:line="360" w:lineRule="auto"/>
              <w:rPr>
                <w:rFonts w:hint="eastAsia" w:ascii="宋体" w:hAnsi="宋体" w:eastAsia="宋体" w:cs="宋体"/>
                <w:color w:val="auto"/>
                <w:sz w:val="21"/>
                <w:szCs w:val="21"/>
              </w:rPr>
            </w:pPr>
          </w:p>
        </w:tc>
        <w:tc>
          <w:tcPr>
            <w:tcW w:w="975" w:type="dxa"/>
            <w:vMerge w:val="continue"/>
            <w:vAlign w:val="center"/>
          </w:tcPr>
          <w:p w14:paraId="31960BC9">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51C6D6A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经营数据</w:t>
            </w:r>
          </w:p>
        </w:tc>
        <w:tc>
          <w:tcPr>
            <w:tcW w:w="4632" w:type="dxa"/>
            <w:vAlign w:val="center"/>
          </w:tcPr>
          <w:p w14:paraId="209A5442">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今日新增宝宝，本周收入及本周实际课消，本月收入及本月课消。</w:t>
            </w:r>
          </w:p>
        </w:tc>
      </w:tr>
      <w:tr w14:paraId="138537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AE0B4A2">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57</w:t>
            </w:r>
          </w:p>
        </w:tc>
        <w:tc>
          <w:tcPr>
            <w:tcW w:w="660" w:type="dxa"/>
            <w:vMerge w:val="continue"/>
            <w:vAlign w:val="center"/>
          </w:tcPr>
          <w:p w14:paraId="0EA77FE7">
            <w:pPr>
              <w:spacing w:line="360" w:lineRule="auto"/>
              <w:rPr>
                <w:rFonts w:hint="eastAsia" w:ascii="宋体" w:hAnsi="宋体" w:eastAsia="宋体" w:cs="宋体"/>
                <w:color w:val="auto"/>
                <w:sz w:val="21"/>
                <w:szCs w:val="21"/>
              </w:rPr>
            </w:pPr>
          </w:p>
        </w:tc>
        <w:tc>
          <w:tcPr>
            <w:tcW w:w="975" w:type="dxa"/>
            <w:vMerge w:val="continue"/>
            <w:vAlign w:val="center"/>
          </w:tcPr>
          <w:p w14:paraId="08838099">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39B29AAE">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托位统计</w:t>
            </w:r>
          </w:p>
        </w:tc>
        <w:tc>
          <w:tcPr>
            <w:tcW w:w="4632" w:type="dxa"/>
            <w:vAlign w:val="center"/>
          </w:tcPr>
          <w:p w14:paraId="067B7832">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总托位数、在班宝宝及总满班率。</w:t>
            </w:r>
          </w:p>
        </w:tc>
      </w:tr>
      <w:tr w14:paraId="39DE5E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832C5C2">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58</w:t>
            </w:r>
          </w:p>
        </w:tc>
        <w:tc>
          <w:tcPr>
            <w:tcW w:w="660" w:type="dxa"/>
            <w:vMerge w:val="continue"/>
            <w:vAlign w:val="center"/>
          </w:tcPr>
          <w:p w14:paraId="454C578F">
            <w:pPr>
              <w:spacing w:line="360" w:lineRule="auto"/>
              <w:rPr>
                <w:rFonts w:hint="eastAsia" w:ascii="宋体" w:hAnsi="宋体" w:eastAsia="宋体" w:cs="宋体"/>
                <w:color w:val="auto"/>
                <w:sz w:val="21"/>
                <w:szCs w:val="21"/>
              </w:rPr>
            </w:pPr>
          </w:p>
        </w:tc>
        <w:tc>
          <w:tcPr>
            <w:tcW w:w="975" w:type="dxa"/>
            <w:vMerge w:val="continue"/>
            <w:vAlign w:val="center"/>
          </w:tcPr>
          <w:p w14:paraId="312970A6">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5F17B8B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宝宝考勤</w:t>
            </w:r>
          </w:p>
        </w:tc>
        <w:tc>
          <w:tcPr>
            <w:tcW w:w="4632" w:type="dxa"/>
            <w:vAlign w:val="center"/>
          </w:tcPr>
          <w:p w14:paraId="24E0C2E3">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今日出勤率，出清人数、缺勤人数、请假人数及未入园且未请假人数。</w:t>
            </w:r>
          </w:p>
        </w:tc>
      </w:tr>
      <w:tr w14:paraId="7C39AB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98B994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59</w:t>
            </w:r>
          </w:p>
        </w:tc>
        <w:tc>
          <w:tcPr>
            <w:tcW w:w="660" w:type="dxa"/>
            <w:vMerge w:val="continue"/>
            <w:vAlign w:val="center"/>
          </w:tcPr>
          <w:p w14:paraId="70FCFD16">
            <w:pPr>
              <w:spacing w:line="360" w:lineRule="auto"/>
              <w:rPr>
                <w:rFonts w:hint="eastAsia" w:ascii="宋体" w:hAnsi="宋体" w:eastAsia="宋体" w:cs="宋体"/>
                <w:color w:val="auto"/>
                <w:sz w:val="21"/>
                <w:szCs w:val="21"/>
              </w:rPr>
            </w:pPr>
          </w:p>
        </w:tc>
        <w:tc>
          <w:tcPr>
            <w:tcW w:w="975" w:type="dxa"/>
            <w:vMerge w:val="continue"/>
            <w:vAlign w:val="center"/>
          </w:tcPr>
          <w:p w14:paraId="37C915B5">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1D64DF0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老师考勤</w:t>
            </w:r>
          </w:p>
        </w:tc>
        <w:tc>
          <w:tcPr>
            <w:tcW w:w="4632" w:type="dxa"/>
            <w:vAlign w:val="center"/>
          </w:tcPr>
          <w:p w14:paraId="0F3EF69E">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今日出勤人数、今日缺勤人数。</w:t>
            </w:r>
          </w:p>
        </w:tc>
      </w:tr>
      <w:tr w14:paraId="6E52AA3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E1A23A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60</w:t>
            </w:r>
          </w:p>
        </w:tc>
        <w:tc>
          <w:tcPr>
            <w:tcW w:w="660" w:type="dxa"/>
            <w:vMerge w:val="continue"/>
            <w:vAlign w:val="center"/>
          </w:tcPr>
          <w:p w14:paraId="213C8456">
            <w:pPr>
              <w:spacing w:line="360" w:lineRule="auto"/>
              <w:rPr>
                <w:rFonts w:hint="eastAsia" w:ascii="宋体" w:hAnsi="宋体" w:eastAsia="宋体" w:cs="宋体"/>
                <w:color w:val="auto"/>
                <w:sz w:val="21"/>
                <w:szCs w:val="21"/>
              </w:rPr>
            </w:pPr>
          </w:p>
        </w:tc>
        <w:tc>
          <w:tcPr>
            <w:tcW w:w="975" w:type="dxa"/>
            <w:vMerge w:val="restart"/>
            <w:vAlign w:val="center"/>
          </w:tcPr>
          <w:p w14:paraId="3D45C30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园区资料</w:t>
            </w:r>
          </w:p>
        </w:tc>
        <w:tc>
          <w:tcPr>
            <w:tcW w:w="1860" w:type="dxa"/>
            <w:vAlign w:val="center"/>
          </w:tcPr>
          <w:p w14:paraId="15D59A09">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园区资质</w:t>
            </w:r>
          </w:p>
        </w:tc>
        <w:tc>
          <w:tcPr>
            <w:tcW w:w="4632" w:type="dxa"/>
            <w:vAlign w:val="center"/>
          </w:tcPr>
          <w:p w14:paraId="63807E65">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支持资质管理。</w:t>
            </w:r>
          </w:p>
        </w:tc>
      </w:tr>
      <w:tr w14:paraId="35EFB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46A4E75">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61</w:t>
            </w:r>
          </w:p>
        </w:tc>
        <w:tc>
          <w:tcPr>
            <w:tcW w:w="660" w:type="dxa"/>
            <w:vMerge w:val="continue"/>
            <w:vAlign w:val="center"/>
          </w:tcPr>
          <w:p w14:paraId="6E014F7A">
            <w:pPr>
              <w:spacing w:line="360" w:lineRule="auto"/>
              <w:rPr>
                <w:rFonts w:hint="eastAsia" w:ascii="宋体" w:hAnsi="宋体" w:eastAsia="宋体" w:cs="宋体"/>
                <w:color w:val="auto"/>
                <w:sz w:val="21"/>
                <w:szCs w:val="21"/>
              </w:rPr>
            </w:pPr>
          </w:p>
        </w:tc>
        <w:tc>
          <w:tcPr>
            <w:tcW w:w="975" w:type="dxa"/>
            <w:vMerge w:val="continue"/>
            <w:vAlign w:val="center"/>
          </w:tcPr>
          <w:p w14:paraId="4A3A6DC7">
            <w:pPr>
              <w:snapToGrid w:val="0"/>
              <w:spacing w:before="0" w:after="0" w:line="360" w:lineRule="auto"/>
              <w:jc w:val="center"/>
              <w:rPr>
                <w:rFonts w:hint="eastAsia" w:ascii="宋体" w:hAnsi="宋体" w:eastAsia="宋体" w:cs="宋体"/>
                <w:color w:val="auto"/>
                <w:sz w:val="21"/>
                <w:szCs w:val="21"/>
                <w:lang w:val="en-US" w:eastAsia="zh-CN"/>
              </w:rPr>
            </w:pPr>
          </w:p>
        </w:tc>
        <w:tc>
          <w:tcPr>
            <w:tcW w:w="1860" w:type="dxa"/>
            <w:vAlign w:val="center"/>
          </w:tcPr>
          <w:p w14:paraId="1543A641">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园区</w:t>
            </w:r>
            <w:r>
              <w:rPr>
                <w:rFonts w:hint="eastAsia" w:ascii="宋体" w:hAnsi="宋体" w:eastAsia="宋体" w:cs="宋体"/>
                <w:color w:val="auto"/>
                <w:sz w:val="21"/>
                <w:szCs w:val="21"/>
              </w:rPr>
              <w:t>基本信息</w:t>
            </w:r>
          </w:p>
        </w:tc>
        <w:tc>
          <w:tcPr>
            <w:tcW w:w="4632" w:type="dxa"/>
            <w:vAlign w:val="center"/>
          </w:tcPr>
          <w:p w14:paraId="56B85D43">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机构名称、联系人、建筑面积、是否普惠性质、是否备案园区及备案编号、园区性质、托位数、详细地址等。</w:t>
            </w:r>
          </w:p>
        </w:tc>
      </w:tr>
      <w:tr w14:paraId="185EF3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FD7FE45">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62</w:t>
            </w:r>
          </w:p>
        </w:tc>
        <w:tc>
          <w:tcPr>
            <w:tcW w:w="660" w:type="dxa"/>
            <w:vMerge w:val="continue"/>
            <w:vAlign w:val="center"/>
          </w:tcPr>
          <w:p w14:paraId="7C534221">
            <w:pPr>
              <w:spacing w:line="360" w:lineRule="auto"/>
              <w:rPr>
                <w:rFonts w:hint="eastAsia" w:ascii="宋体" w:hAnsi="宋体" w:eastAsia="宋体" w:cs="宋体"/>
                <w:color w:val="auto"/>
                <w:sz w:val="21"/>
                <w:szCs w:val="21"/>
              </w:rPr>
            </w:pPr>
          </w:p>
        </w:tc>
        <w:tc>
          <w:tcPr>
            <w:tcW w:w="975" w:type="dxa"/>
            <w:vMerge w:val="restart"/>
            <w:vAlign w:val="center"/>
          </w:tcPr>
          <w:p w14:paraId="3374A3F2">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招生运营</w:t>
            </w:r>
          </w:p>
        </w:tc>
        <w:tc>
          <w:tcPr>
            <w:tcW w:w="1860" w:type="dxa"/>
            <w:vAlign w:val="center"/>
          </w:tcPr>
          <w:p w14:paraId="5A69C8B6">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意向客户</w:t>
            </w:r>
          </w:p>
        </w:tc>
        <w:tc>
          <w:tcPr>
            <w:tcW w:w="4632" w:type="dxa"/>
            <w:vAlign w:val="center"/>
          </w:tcPr>
          <w:p w14:paraId="5F6E899A">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1、客户记录：</w:t>
            </w:r>
            <w:r>
              <w:rPr>
                <w:rFonts w:hint="eastAsia" w:ascii="宋体" w:hAnsi="宋体" w:eastAsia="宋体" w:cs="宋体"/>
                <w:color w:val="auto"/>
                <w:sz w:val="21"/>
                <w:szCs w:val="21"/>
              </w:rPr>
              <w:t>管理意向客户信息与跟进状态</w:t>
            </w:r>
            <w:r>
              <w:rPr>
                <w:rFonts w:hint="eastAsia" w:ascii="宋体" w:hAnsi="宋体" w:eastAsia="宋体" w:cs="宋体"/>
                <w:color w:val="auto"/>
                <w:sz w:val="21"/>
                <w:szCs w:val="21"/>
                <w:lang w:eastAsia="zh-CN"/>
              </w:rPr>
              <w:t>；</w:t>
            </w:r>
            <w:r>
              <w:rPr>
                <w:rFonts w:hint="eastAsia" w:ascii="宋体" w:hAnsi="宋体" w:eastAsia="宋体" w:cs="宋体"/>
                <w:color w:val="auto"/>
                <w:sz w:val="21"/>
                <w:szCs w:val="21"/>
                <w:lang w:val="en-US" w:eastAsia="zh-CN"/>
              </w:rPr>
              <w:t>2、客户分析：</w:t>
            </w:r>
            <w:r>
              <w:rPr>
                <w:rFonts w:hint="eastAsia" w:ascii="宋体" w:hAnsi="宋体" w:eastAsia="宋体" w:cs="宋体"/>
                <w:color w:val="auto"/>
                <w:sz w:val="21"/>
                <w:szCs w:val="21"/>
              </w:rPr>
              <w:t>统计分析招生渠道</w:t>
            </w:r>
            <w:r>
              <w:rPr>
                <w:rFonts w:hint="eastAsia" w:ascii="宋体" w:hAnsi="宋体" w:eastAsia="宋体" w:cs="宋体"/>
                <w:color w:val="auto"/>
                <w:sz w:val="21"/>
                <w:szCs w:val="21"/>
                <w:lang w:val="en-US" w:eastAsia="zh-CN"/>
              </w:rPr>
              <w:t>来源分布及意向度分析</w:t>
            </w:r>
            <w:r>
              <w:rPr>
                <w:rFonts w:hint="eastAsia" w:ascii="宋体" w:hAnsi="宋体" w:eastAsia="宋体" w:cs="宋体"/>
                <w:color w:val="auto"/>
                <w:sz w:val="21"/>
                <w:szCs w:val="21"/>
              </w:rPr>
              <w:t>，跟踪客户全生命周期。</w:t>
            </w:r>
          </w:p>
        </w:tc>
      </w:tr>
      <w:tr w14:paraId="72606C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9A8116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63</w:t>
            </w:r>
          </w:p>
        </w:tc>
        <w:tc>
          <w:tcPr>
            <w:tcW w:w="660" w:type="dxa"/>
            <w:vMerge w:val="continue"/>
            <w:vAlign w:val="center"/>
          </w:tcPr>
          <w:p w14:paraId="3A3E535F">
            <w:pPr>
              <w:spacing w:line="360" w:lineRule="auto"/>
              <w:rPr>
                <w:rFonts w:hint="eastAsia" w:ascii="宋体" w:hAnsi="宋体" w:eastAsia="宋体" w:cs="宋体"/>
                <w:color w:val="auto"/>
                <w:sz w:val="21"/>
                <w:szCs w:val="21"/>
              </w:rPr>
            </w:pPr>
          </w:p>
        </w:tc>
        <w:tc>
          <w:tcPr>
            <w:tcW w:w="975" w:type="dxa"/>
            <w:vMerge w:val="continue"/>
            <w:vAlign w:val="center"/>
          </w:tcPr>
          <w:p w14:paraId="281FDC1E">
            <w:pPr>
              <w:spacing w:line="360" w:lineRule="auto"/>
              <w:rPr>
                <w:rFonts w:hint="eastAsia" w:ascii="宋体" w:hAnsi="宋体" w:eastAsia="宋体" w:cs="宋体"/>
                <w:color w:val="auto"/>
                <w:sz w:val="21"/>
                <w:szCs w:val="21"/>
              </w:rPr>
            </w:pPr>
          </w:p>
        </w:tc>
        <w:tc>
          <w:tcPr>
            <w:tcW w:w="1860" w:type="dxa"/>
            <w:vAlign w:val="center"/>
          </w:tcPr>
          <w:p w14:paraId="1F0203D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合同管理</w:t>
            </w:r>
          </w:p>
        </w:tc>
        <w:tc>
          <w:tcPr>
            <w:tcW w:w="4632" w:type="dxa"/>
            <w:vAlign w:val="center"/>
          </w:tcPr>
          <w:p w14:paraId="10AD350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管理托育服务合同，支持创建、编辑、续签，并实时查看学员剩余课次与金额。</w:t>
            </w:r>
          </w:p>
        </w:tc>
      </w:tr>
      <w:tr w14:paraId="49EBA6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D71905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64</w:t>
            </w:r>
          </w:p>
        </w:tc>
        <w:tc>
          <w:tcPr>
            <w:tcW w:w="660" w:type="dxa"/>
            <w:vMerge w:val="continue"/>
            <w:vAlign w:val="center"/>
          </w:tcPr>
          <w:p w14:paraId="26466393">
            <w:pPr>
              <w:spacing w:line="360" w:lineRule="auto"/>
              <w:rPr>
                <w:rFonts w:hint="eastAsia" w:ascii="宋体" w:hAnsi="宋体" w:eastAsia="宋体" w:cs="宋体"/>
                <w:color w:val="auto"/>
                <w:sz w:val="21"/>
                <w:szCs w:val="21"/>
              </w:rPr>
            </w:pPr>
          </w:p>
        </w:tc>
        <w:tc>
          <w:tcPr>
            <w:tcW w:w="975" w:type="dxa"/>
            <w:vMerge w:val="continue"/>
            <w:vAlign w:val="center"/>
          </w:tcPr>
          <w:p w14:paraId="11458D71">
            <w:pPr>
              <w:spacing w:line="360" w:lineRule="auto"/>
              <w:rPr>
                <w:rFonts w:hint="eastAsia" w:ascii="宋体" w:hAnsi="宋体" w:eastAsia="宋体" w:cs="宋体"/>
                <w:color w:val="auto"/>
                <w:sz w:val="21"/>
                <w:szCs w:val="21"/>
              </w:rPr>
            </w:pPr>
          </w:p>
        </w:tc>
        <w:tc>
          <w:tcPr>
            <w:tcW w:w="1860" w:type="dxa"/>
            <w:vAlign w:val="center"/>
          </w:tcPr>
          <w:p w14:paraId="454C7D5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托育到家</w:t>
            </w:r>
          </w:p>
        </w:tc>
        <w:tc>
          <w:tcPr>
            <w:tcW w:w="4632" w:type="dxa"/>
            <w:vAlign w:val="center"/>
          </w:tcPr>
          <w:p w14:paraId="21EFCA21">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1、园区入驻到托育到家平台资料完善</w:t>
            </w:r>
            <w:r>
              <w:rPr>
                <w:rFonts w:hint="eastAsia" w:ascii="宋体" w:hAnsi="宋体" w:eastAsia="宋体" w:cs="宋体"/>
                <w:color w:val="auto"/>
                <w:sz w:val="21"/>
                <w:szCs w:val="21"/>
              </w:rPr>
              <w:t>。</w:t>
            </w:r>
            <w:r>
              <w:rPr>
                <w:rFonts w:hint="eastAsia" w:ascii="宋体" w:hAnsi="宋体" w:eastAsia="宋体" w:cs="宋体"/>
                <w:color w:val="auto"/>
                <w:sz w:val="21"/>
                <w:szCs w:val="21"/>
                <w:lang w:val="en-US" w:eastAsia="zh-CN"/>
              </w:rPr>
              <w:t>2、入驻后的相关客户咨询信息处理。</w:t>
            </w:r>
          </w:p>
        </w:tc>
      </w:tr>
      <w:tr w14:paraId="4DC086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812A50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65</w:t>
            </w:r>
          </w:p>
        </w:tc>
        <w:tc>
          <w:tcPr>
            <w:tcW w:w="660" w:type="dxa"/>
            <w:vMerge w:val="continue"/>
            <w:vAlign w:val="center"/>
          </w:tcPr>
          <w:p w14:paraId="4D7001EE">
            <w:pPr>
              <w:spacing w:line="360" w:lineRule="auto"/>
              <w:rPr>
                <w:rFonts w:hint="eastAsia" w:ascii="宋体" w:hAnsi="宋体" w:eastAsia="宋体" w:cs="宋体"/>
                <w:color w:val="auto"/>
                <w:sz w:val="21"/>
                <w:szCs w:val="21"/>
              </w:rPr>
            </w:pPr>
          </w:p>
        </w:tc>
        <w:tc>
          <w:tcPr>
            <w:tcW w:w="975" w:type="dxa"/>
            <w:vMerge w:val="restart"/>
            <w:vAlign w:val="center"/>
          </w:tcPr>
          <w:p w14:paraId="3A55315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教务活动</w:t>
            </w:r>
          </w:p>
        </w:tc>
        <w:tc>
          <w:tcPr>
            <w:tcW w:w="1860" w:type="dxa"/>
            <w:vAlign w:val="center"/>
          </w:tcPr>
          <w:p w14:paraId="5A083BB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本周计划</w:t>
            </w:r>
          </w:p>
        </w:tc>
        <w:tc>
          <w:tcPr>
            <w:tcW w:w="4632" w:type="dxa"/>
            <w:vAlign w:val="center"/>
          </w:tcPr>
          <w:p w14:paraId="0440ADF2">
            <w:pPr>
              <w:numPr>
                <w:ilvl w:val="0"/>
                <w:numId w:val="14"/>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规划与展示</w:t>
            </w:r>
            <w:r>
              <w:rPr>
                <w:rFonts w:hint="eastAsia" w:ascii="宋体" w:hAnsi="宋体" w:eastAsia="宋体" w:cs="宋体"/>
                <w:color w:val="auto"/>
                <w:sz w:val="21"/>
                <w:szCs w:val="21"/>
                <w:lang w:val="en-US" w:eastAsia="zh-CN"/>
              </w:rPr>
              <w:t>及发布</w:t>
            </w:r>
            <w:r>
              <w:rPr>
                <w:rFonts w:hint="eastAsia" w:ascii="宋体" w:hAnsi="宋体" w:eastAsia="宋体" w:cs="宋体"/>
                <w:color w:val="auto"/>
                <w:sz w:val="21"/>
                <w:szCs w:val="21"/>
              </w:rPr>
              <w:t>本周教学保育计划，支持添加音视频、文档等附件。</w:t>
            </w:r>
            <w:r>
              <w:rPr>
                <w:rFonts w:hint="eastAsia" w:ascii="宋体" w:hAnsi="宋体" w:eastAsia="宋体" w:cs="宋体"/>
                <w:color w:val="auto"/>
                <w:sz w:val="21"/>
                <w:szCs w:val="21"/>
                <w:lang w:val="en-US" w:eastAsia="zh-CN"/>
              </w:rPr>
              <w:t>可导入上周计划内容。</w:t>
            </w:r>
          </w:p>
          <w:p w14:paraId="51180304">
            <w:pPr>
              <w:numPr>
                <w:ilvl w:val="0"/>
                <w:numId w:val="14"/>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系统内需涵盖权威标准化并符合0-3岁婴幼儿身心发展规律的标准化托育课程体系、支持托育机构课程安排的规范管理，并支持自定义课程编排。</w:t>
            </w:r>
          </w:p>
        </w:tc>
      </w:tr>
      <w:tr w14:paraId="1C1EE5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51A2D1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66</w:t>
            </w:r>
          </w:p>
        </w:tc>
        <w:tc>
          <w:tcPr>
            <w:tcW w:w="660" w:type="dxa"/>
            <w:vMerge w:val="continue"/>
            <w:vAlign w:val="center"/>
          </w:tcPr>
          <w:p w14:paraId="65341AEA">
            <w:pPr>
              <w:spacing w:line="360" w:lineRule="auto"/>
              <w:rPr>
                <w:rFonts w:hint="eastAsia" w:ascii="宋体" w:hAnsi="宋体" w:eastAsia="宋体" w:cs="宋体"/>
                <w:color w:val="auto"/>
                <w:sz w:val="21"/>
                <w:szCs w:val="21"/>
              </w:rPr>
            </w:pPr>
          </w:p>
        </w:tc>
        <w:tc>
          <w:tcPr>
            <w:tcW w:w="975" w:type="dxa"/>
            <w:vMerge w:val="continue"/>
            <w:vAlign w:val="center"/>
          </w:tcPr>
          <w:p w14:paraId="7817371D">
            <w:pPr>
              <w:spacing w:line="360" w:lineRule="auto"/>
              <w:rPr>
                <w:rFonts w:hint="eastAsia" w:ascii="宋体" w:hAnsi="宋体" w:eastAsia="宋体" w:cs="宋体"/>
                <w:color w:val="auto"/>
                <w:sz w:val="21"/>
                <w:szCs w:val="21"/>
              </w:rPr>
            </w:pPr>
          </w:p>
        </w:tc>
        <w:tc>
          <w:tcPr>
            <w:tcW w:w="1860" w:type="dxa"/>
            <w:vAlign w:val="center"/>
          </w:tcPr>
          <w:p w14:paraId="776831C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素材库</w:t>
            </w:r>
          </w:p>
        </w:tc>
        <w:tc>
          <w:tcPr>
            <w:tcW w:w="4632" w:type="dxa"/>
            <w:vAlign w:val="center"/>
          </w:tcPr>
          <w:p w14:paraId="2389F74D">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添加上传教学课件、活动照片及音频视频资料作为保育计划素材库，支持批量归类及批量删除。</w:t>
            </w:r>
          </w:p>
        </w:tc>
      </w:tr>
      <w:tr w14:paraId="5029FE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BD296C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67</w:t>
            </w:r>
          </w:p>
        </w:tc>
        <w:tc>
          <w:tcPr>
            <w:tcW w:w="660" w:type="dxa"/>
            <w:vMerge w:val="continue"/>
            <w:vAlign w:val="center"/>
          </w:tcPr>
          <w:p w14:paraId="2CA31E8D">
            <w:pPr>
              <w:spacing w:line="360" w:lineRule="auto"/>
              <w:rPr>
                <w:rFonts w:hint="eastAsia" w:ascii="宋体" w:hAnsi="宋体" w:eastAsia="宋体" w:cs="宋体"/>
                <w:color w:val="auto"/>
                <w:sz w:val="21"/>
                <w:szCs w:val="21"/>
              </w:rPr>
            </w:pPr>
          </w:p>
        </w:tc>
        <w:tc>
          <w:tcPr>
            <w:tcW w:w="975" w:type="dxa"/>
            <w:vMerge w:val="continue"/>
            <w:vAlign w:val="center"/>
          </w:tcPr>
          <w:p w14:paraId="32C312FD">
            <w:pPr>
              <w:spacing w:line="360" w:lineRule="auto"/>
              <w:rPr>
                <w:rFonts w:hint="eastAsia" w:ascii="宋体" w:hAnsi="宋体" w:eastAsia="宋体" w:cs="宋体"/>
                <w:color w:val="auto"/>
                <w:sz w:val="21"/>
                <w:szCs w:val="21"/>
              </w:rPr>
            </w:pPr>
          </w:p>
        </w:tc>
        <w:tc>
          <w:tcPr>
            <w:tcW w:w="1860" w:type="dxa"/>
            <w:vAlign w:val="center"/>
          </w:tcPr>
          <w:p w14:paraId="7C003FE3">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成长测评</w:t>
            </w:r>
          </w:p>
        </w:tc>
        <w:tc>
          <w:tcPr>
            <w:tcW w:w="4632" w:type="dxa"/>
            <w:vAlign w:val="center"/>
          </w:tcPr>
          <w:p w14:paraId="0FF892B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使用内置或自定义评估体系，对幼儿发展进行测评并生成报告。</w:t>
            </w:r>
          </w:p>
        </w:tc>
      </w:tr>
      <w:tr w14:paraId="7A4985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6DF7DE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68</w:t>
            </w:r>
          </w:p>
        </w:tc>
        <w:tc>
          <w:tcPr>
            <w:tcW w:w="660" w:type="dxa"/>
            <w:vMerge w:val="continue"/>
            <w:vAlign w:val="center"/>
          </w:tcPr>
          <w:p w14:paraId="0E2147D9">
            <w:pPr>
              <w:spacing w:line="360" w:lineRule="auto"/>
              <w:rPr>
                <w:rFonts w:hint="eastAsia" w:ascii="宋体" w:hAnsi="宋体" w:eastAsia="宋体" w:cs="宋体"/>
                <w:color w:val="auto"/>
                <w:sz w:val="21"/>
                <w:szCs w:val="21"/>
              </w:rPr>
            </w:pPr>
          </w:p>
        </w:tc>
        <w:tc>
          <w:tcPr>
            <w:tcW w:w="975" w:type="dxa"/>
            <w:vMerge w:val="restart"/>
            <w:vAlign w:val="center"/>
          </w:tcPr>
          <w:p w14:paraId="354CD3C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园务管理</w:t>
            </w:r>
          </w:p>
        </w:tc>
        <w:tc>
          <w:tcPr>
            <w:tcW w:w="1860" w:type="dxa"/>
            <w:vAlign w:val="center"/>
          </w:tcPr>
          <w:p w14:paraId="277113DD">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班级管理</w:t>
            </w:r>
          </w:p>
        </w:tc>
        <w:tc>
          <w:tcPr>
            <w:tcW w:w="4632" w:type="dxa"/>
            <w:vAlign w:val="center"/>
          </w:tcPr>
          <w:p w14:paraId="3A9CE0D3">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支持新建园区班级和删除班级，通过班级列表实时管理园区当前班级情况。</w:t>
            </w:r>
          </w:p>
        </w:tc>
      </w:tr>
      <w:tr w14:paraId="31937F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9052DD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69</w:t>
            </w:r>
          </w:p>
        </w:tc>
        <w:tc>
          <w:tcPr>
            <w:tcW w:w="660" w:type="dxa"/>
            <w:vMerge w:val="continue"/>
            <w:vAlign w:val="center"/>
          </w:tcPr>
          <w:p w14:paraId="48EA91C8">
            <w:pPr>
              <w:spacing w:line="360" w:lineRule="auto"/>
              <w:rPr>
                <w:rFonts w:hint="eastAsia" w:ascii="宋体" w:hAnsi="宋体" w:eastAsia="宋体" w:cs="宋体"/>
                <w:color w:val="auto"/>
                <w:sz w:val="21"/>
                <w:szCs w:val="21"/>
              </w:rPr>
            </w:pPr>
          </w:p>
        </w:tc>
        <w:tc>
          <w:tcPr>
            <w:tcW w:w="975" w:type="dxa"/>
            <w:vMerge w:val="continue"/>
            <w:vAlign w:val="center"/>
          </w:tcPr>
          <w:p w14:paraId="6A966A5F">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56602357">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宝宝管理</w:t>
            </w:r>
          </w:p>
        </w:tc>
        <w:tc>
          <w:tcPr>
            <w:tcW w:w="4632" w:type="dxa"/>
            <w:vAlign w:val="center"/>
          </w:tcPr>
          <w:p w14:paraId="54F30E3C">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统一管理所有在托婴幼儿的基本信息、考勤记录及请假申请。</w:t>
            </w:r>
          </w:p>
        </w:tc>
      </w:tr>
      <w:tr w14:paraId="6CE3C9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9E5E70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70</w:t>
            </w:r>
          </w:p>
        </w:tc>
        <w:tc>
          <w:tcPr>
            <w:tcW w:w="660" w:type="dxa"/>
            <w:vMerge w:val="continue"/>
            <w:vAlign w:val="center"/>
          </w:tcPr>
          <w:p w14:paraId="69A5B14E">
            <w:pPr>
              <w:spacing w:line="360" w:lineRule="auto"/>
              <w:rPr>
                <w:rFonts w:hint="eastAsia" w:ascii="宋体" w:hAnsi="宋体" w:eastAsia="宋体" w:cs="宋体"/>
                <w:color w:val="auto"/>
                <w:sz w:val="21"/>
                <w:szCs w:val="21"/>
              </w:rPr>
            </w:pPr>
          </w:p>
        </w:tc>
        <w:tc>
          <w:tcPr>
            <w:tcW w:w="975" w:type="dxa"/>
            <w:vMerge w:val="continue"/>
            <w:vAlign w:val="center"/>
          </w:tcPr>
          <w:p w14:paraId="44FE4940">
            <w:pPr>
              <w:spacing w:line="360" w:lineRule="auto"/>
              <w:rPr>
                <w:rFonts w:hint="eastAsia" w:ascii="宋体" w:hAnsi="宋体" w:eastAsia="宋体" w:cs="宋体"/>
                <w:color w:val="auto"/>
                <w:sz w:val="21"/>
                <w:szCs w:val="21"/>
              </w:rPr>
            </w:pPr>
          </w:p>
        </w:tc>
        <w:tc>
          <w:tcPr>
            <w:tcW w:w="1860" w:type="dxa"/>
            <w:vAlign w:val="center"/>
          </w:tcPr>
          <w:p w14:paraId="1D67FCEF">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家长管理</w:t>
            </w:r>
          </w:p>
        </w:tc>
        <w:tc>
          <w:tcPr>
            <w:tcW w:w="4632" w:type="dxa"/>
            <w:vAlign w:val="center"/>
          </w:tcPr>
          <w:p w14:paraId="1EA147DC">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全面登记并管理家长联系方式、家庭住址等相关信息。</w:t>
            </w:r>
          </w:p>
        </w:tc>
      </w:tr>
      <w:tr w14:paraId="040942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07A1EF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71</w:t>
            </w:r>
          </w:p>
        </w:tc>
        <w:tc>
          <w:tcPr>
            <w:tcW w:w="660" w:type="dxa"/>
            <w:vMerge w:val="continue"/>
            <w:vAlign w:val="center"/>
          </w:tcPr>
          <w:p w14:paraId="50F7877A">
            <w:pPr>
              <w:spacing w:line="360" w:lineRule="auto"/>
              <w:rPr>
                <w:rFonts w:hint="eastAsia" w:ascii="宋体" w:hAnsi="宋体" w:eastAsia="宋体" w:cs="宋体"/>
                <w:color w:val="auto"/>
                <w:sz w:val="21"/>
                <w:szCs w:val="21"/>
              </w:rPr>
            </w:pPr>
          </w:p>
        </w:tc>
        <w:tc>
          <w:tcPr>
            <w:tcW w:w="975" w:type="dxa"/>
            <w:vMerge w:val="continue"/>
            <w:vAlign w:val="center"/>
          </w:tcPr>
          <w:p w14:paraId="5DD4C6D8">
            <w:pPr>
              <w:spacing w:line="360" w:lineRule="auto"/>
              <w:rPr>
                <w:rFonts w:hint="eastAsia" w:ascii="宋体" w:hAnsi="宋体" w:eastAsia="宋体" w:cs="宋体"/>
                <w:color w:val="auto"/>
                <w:sz w:val="21"/>
                <w:szCs w:val="21"/>
              </w:rPr>
            </w:pPr>
          </w:p>
        </w:tc>
        <w:tc>
          <w:tcPr>
            <w:tcW w:w="1860" w:type="dxa"/>
            <w:vAlign w:val="center"/>
          </w:tcPr>
          <w:p w14:paraId="71989BB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员工管理</w:t>
            </w:r>
          </w:p>
        </w:tc>
        <w:tc>
          <w:tcPr>
            <w:tcW w:w="4632" w:type="dxa"/>
            <w:vAlign w:val="center"/>
          </w:tcPr>
          <w:p w14:paraId="3F22F0E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统一管理所有员工的基本信息、考勤记录及请假申请。</w:t>
            </w:r>
          </w:p>
        </w:tc>
      </w:tr>
      <w:tr w14:paraId="1B8712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9CD549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72</w:t>
            </w:r>
          </w:p>
        </w:tc>
        <w:tc>
          <w:tcPr>
            <w:tcW w:w="660" w:type="dxa"/>
            <w:vMerge w:val="continue"/>
            <w:vAlign w:val="center"/>
          </w:tcPr>
          <w:p w14:paraId="2094A64B">
            <w:pPr>
              <w:spacing w:line="360" w:lineRule="auto"/>
              <w:rPr>
                <w:rFonts w:hint="eastAsia" w:ascii="宋体" w:hAnsi="宋体" w:eastAsia="宋体" w:cs="宋体"/>
                <w:color w:val="auto"/>
                <w:sz w:val="21"/>
                <w:szCs w:val="21"/>
              </w:rPr>
            </w:pPr>
          </w:p>
        </w:tc>
        <w:tc>
          <w:tcPr>
            <w:tcW w:w="975" w:type="dxa"/>
            <w:vMerge w:val="restart"/>
            <w:vAlign w:val="center"/>
          </w:tcPr>
          <w:p w14:paraId="72AC6A0C">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健康照料</w:t>
            </w:r>
          </w:p>
        </w:tc>
        <w:tc>
          <w:tcPr>
            <w:tcW w:w="1860" w:type="dxa"/>
            <w:vAlign w:val="center"/>
          </w:tcPr>
          <w:p w14:paraId="02D33F6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宝宝日记</w:t>
            </w:r>
          </w:p>
        </w:tc>
        <w:tc>
          <w:tcPr>
            <w:tcW w:w="4632" w:type="dxa"/>
            <w:vAlign w:val="center"/>
          </w:tcPr>
          <w:p w14:paraId="618A7A4F">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统一管理所有班级宝宝日记，查询已发布人次、未发布人次及已发布比例及宝宝日记详情，并支出导出班级日记报表。</w:t>
            </w:r>
          </w:p>
        </w:tc>
      </w:tr>
      <w:tr w14:paraId="40EB07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75E8C3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73</w:t>
            </w:r>
          </w:p>
        </w:tc>
        <w:tc>
          <w:tcPr>
            <w:tcW w:w="660" w:type="dxa"/>
            <w:vMerge w:val="continue"/>
            <w:vAlign w:val="center"/>
          </w:tcPr>
          <w:p w14:paraId="13A3BAF6">
            <w:pPr>
              <w:spacing w:line="360" w:lineRule="auto"/>
              <w:rPr>
                <w:rFonts w:hint="eastAsia" w:ascii="宋体" w:hAnsi="宋体" w:eastAsia="宋体" w:cs="宋体"/>
                <w:color w:val="auto"/>
                <w:sz w:val="21"/>
                <w:szCs w:val="21"/>
              </w:rPr>
            </w:pPr>
          </w:p>
        </w:tc>
        <w:tc>
          <w:tcPr>
            <w:tcW w:w="975" w:type="dxa"/>
            <w:vMerge w:val="continue"/>
            <w:vAlign w:val="center"/>
          </w:tcPr>
          <w:p w14:paraId="5D51F05E">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30ABFFF5">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一日三检</w:t>
            </w:r>
          </w:p>
        </w:tc>
        <w:tc>
          <w:tcPr>
            <w:tcW w:w="4632" w:type="dxa"/>
            <w:vAlign w:val="center"/>
          </w:tcPr>
          <w:p w14:paraId="0DA3CF2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记录和管理幼儿每日的晨、午、晚检健康数据。</w:t>
            </w:r>
          </w:p>
        </w:tc>
      </w:tr>
      <w:tr w14:paraId="45DD9B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3A6B3AD">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74</w:t>
            </w:r>
          </w:p>
        </w:tc>
        <w:tc>
          <w:tcPr>
            <w:tcW w:w="660" w:type="dxa"/>
            <w:vMerge w:val="continue"/>
            <w:vAlign w:val="center"/>
          </w:tcPr>
          <w:p w14:paraId="3BBF729B">
            <w:pPr>
              <w:spacing w:line="360" w:lineRule="auto"/>
              <w:rPr>
                <w:rFonts w:hint="eastAsia" w:ascii="宋体" w:hAnsi="宋体" w:eastAsia="宋体" w:cs="宋体"/>
                <w:color w:val="auto"/>
                <w:sz w:val="21"/>
                <w:szCs w:val="21"/>
              </w:rPr>
            </w:pPr>
          </w:p>
        </w:tc>
        <w:tc>
          <w:tcPr>
            <w:tcW w:w="975" w:type="dxa"/>
            <w:vMerge w:val="continue"/>
            <w:vAlign w:val="center"/>
          </w:tcPr>
          <w:p w14:paraId="02B2DF4F">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1709BB32">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体征记录</w:t>
            </w:r>
          </w:p>
        </w:tc>
        <w:tc>
          <w:tcPr>
            <w:tcW w:w="4632" w:type="dxa"/>
            <w:vAlign w:val="center"/>
          </w:tcPr>
          <w:p w14:paraId="1BB20719">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记录婴幼儿睡眠记录、身高、体重头围生长记录及教师能力测评记录数据。</w:t>
            </w:r>
          </w:p>
        </w:tc>
      </w:tr>
      <w:tr w14:paraId="18616E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7E12A5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75</w:t>
            </w:r>
          </w:p>
        </w:tc>
        <w:tc>
          <w:tcPr>
            <w:tcW w:w="660" w:type="dxa"/>
            <w:vMerge w:val="continue"/>
            <w:vAlign w:val="center"/>
          </w:tcPr>
          <w:p w14:paraId="7A26C359">
            <w:pPr>
              <w:spacing w:line="360" w:lineRule="auto"/>
              <w:rPr>
                <w:rFonts w:hint="eastAsia" w:ascii="宋体" w:hAnsi="宋体" w:eastAsia="宋体" w:cs="宋体"/>
                <w:color w:val="auto"/>
                <w:sz w:val="21"/>
                <w:szCs w:val="21"/>
              </w:rPr>
            </w:pPr>
          </w:p>
        </w:tc>
        <w:tc>
          <w:tcPr>
            <w:tcW w:w="975" w:type="dxa"/>
            <w:vMerge w:val="continue"/>
            <w:vAlign w:val="center"/>
          </w:tcPr>
          <w:p w14:paraId="3B997813">
            <w:pPr>
              <w:spacing w:line="360" w:lineRule="auto"/>
              <w:rPr>
                <w:rFonts w:hint="eastAsia" w:ascii="宋体" w:hAnsi="宋体" w:eastAsia="宋体" w:cs="宋体"/>
                <w:color w:val="auto"/>
                <w:sz w:val="21"/>
                <w:szCs w:val="21"/>
              </w:rPr>
            </w:pPr>
          </w:p>
        </w:tc>
        <w:tc>
          <w:tcPr>
            <w:tcW w:w="1860" w:type="dxa"/>
            <w:vAlign w:val="center"/>
          </w:tcPr>
          <w:p w14:paraId="015B8DB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日常照护</w:t>
            </w:r>
          </w:p>
        </w:tc>
        <w:tc>
          <w:tcPr>
            <w:tcW w:w="4632" w:type="dxa"/>
            <w:vAlign w:val="center"/>
          </w:tcPr>
          <w:p w14:paraId="667CAFFC">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记录</w:t>
            </w:r>
            <w:r>
              <w:rPr>
                <w:rFonts w:hint="eastAsia" w:ascii="宋体" w:hAnsi="宋体" w:eastAsia="宋体" w:cs="宋体"/>
                <w:color w:val="auto"/>
                <w:sz w:val="21"/>
                <w:szCs w:val="21"/>
                <w:lang w:val="en-US" w:eastAsia="zh-CN"/>
              </w:rPr>
              <w:t>婴</w:t>
            </w:r>
            <w:r>
              <w:rPr>
                <w:rFonts w:hint="eastAsia" w:ascii="宋体" w:hAnsi="宋体" w:eastAsia="宋体" w:cs="宋体"/>
                <w:color w:val="auto"/>
                <w:sz w:val="21"/>
                <w:szCs w:val="21"/>
              </w:rPr>
              <w:t>幼儿饮食、饮水、睡眠、排便、洗澡、换衣等日常照护细节。</w:t>
            </w:r>
          </w:p>
        </w:tc>
      </w:tr>
      <w:tr w14:paraId="29D180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9E2E262">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76</w:t>
            </w:r>
          </w:p>
        </w:tc>
        <w:tc>
          <w:tcPr>
            <w:tcW w:w="660" w:type="dxa"/>
            <w:vMerge w:val="continue"/>
            <w:vAlign w:val="center"/>
          </w:tcPr>
          <w:p w14:paraId="56A83300">
            <w:pPr>
              <w:spacing w:line="360" w:lineRule="auto"/>
              <w:rPr>
                <w:rFonts w:hint="eastAsia" w:ascii="宋体" w:hAnsi="宋体" w:eastAsia="宋体" w:cs="宋体"/>
                <w:color w:val="auto"/>
                <w:sz w:val="21"/>
                <w:szCs w:val="21"/>
              </w:rPr>
            </w:pPr>
          </w:p>
        </w:tc>
        <w:tc>
          <w:tcPr>
            <w:tcW w:w="975" w:type="dxa"/>
            <w:vMerge w:val="continue"/>
            <w:vAlign w:val="center"/>
          </w:tcPr>
          <w:p w14:paraId="7C776CE6">
            <w:pPr>
              <w:spacing w:line="360" w:lineRule="auto"/>
              <w:rPr>
                <w:rFonts w:hint="eastAsia" w:ascii="宋体" w:hAnsi="宋体" w:eastAsia="宋体" w:cs="宋体"/>
                <w:color w:val="auto"/>
                <w:sz w:val="21"/>
                <w:szCs w:val="21"/>
              </w:rPr>
            </w:pPr>
          </w:p>
        </w:tc>
        <w:tc>
          <w:tcPr>
            <w:tcW w:w="1860" w:type="dxa"/>
            <w:vAlign w:val="center"/>
          </w:tcPr>
          <w:p w14:paraId="0467D236">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本周食谱</w:t>
            </w:r>
          </w:p>
        </w:tc>
        <w:tc>
          <w:tcPr>
            <w:tcW w:w="4632" w:type="dxa"/>
            <w:vAlign w:val="center"/>
          </w:tcPr>
          <w:p w14:paraId="1CCFA649">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编辑并发布各班级每周食谱，并可关联查看实际饮食记录。</w:t>
            </w:r>
          </w:p>
        </w:tc>
      </w:tr>
      <w:tr w14:paraId="04D805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0A22A0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77</w:t>
            </w:r>
          </w:p>
        </w:tc>
        <w:tc>
          <w:tcPr>
            <w:tcW w:w="660" w:type="dxa"/>
            <w:vMerge w:val="continue"/>
            <w:vAlign w:val="center"/>
          </w:tcPr>
          <w:p w14:paraId="4948F44A">
            <w:pPr>
              <w:spacing w:line="360" w:lineRule="auto"/>
              <w:rPr>
                <w:rFonts w:hint="eastAsia" w:ascii="宋体" w:hAnsi="宋体" w:eastAsia="宋体" w:cs="宋体"/>
                <w:color w:val="auto"/>
                <w:sz w:val="21"/>
                <w:szCs w:val="21"/>
              </w:rPr>
            </w:pPr>
          </w:p>
        </w:tc>
        <w:tc>
          <w:tcPr>
            <w:tcW w:w="975" w:type="dxa"/>
            <w:vAlign w:val="center"/>
          </w:tcPr>
          <w:p w14:paraId="0BFF225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财务统计</w:t>
            </w:r>
          </w:p>
        </w:tc>
        <w:tc>
          <w:tcPr>
            <w:tcW w:w="1860" w:type="dxa"/>
            <w:vAlign w:val="center"/>
          </w:tcPr>
          <w:p w14:paraId="55C5C7B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经营分析</w:t>
            </w:r>
          </w:p>
        </w:tc>
        <w:tc>
          <w:tcPr>
            <w:tcW w:w="4632" w:type="dxa"/>
            <w:vAlign w:val="center"/>
          </w:tcPr>
          <w:p w14:paraId="5C8D1D1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提供收入、课消、待消课时等核心财务数据分析，辅助经营决策。</w:t>
            </w:r>
          </w:p>
        </w:tc>
      </w:tr>
      <w:tr w14:paraId="2CB931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360725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78</w:t>
            </w:r>
          </w:p>
        </w:tc>
        <w:tc>
          <w:tcPr>
            <w:tcW w:w="660" w:type="dxa"/>
            <w:vMerge w:val="continue"/>
            <w:vAlign w:val="center"/>
          </w:tcPr>
          <w:p w14:paraId="7AEAE0FF">
            <w:pPr>
              <w:spacing w:line="360" w:lineRule="auto"/>
              <w:rPr>
                <w:rFonts w:hint="eastAsia" w:ascii="宋体" w:hAnsi="宋体" w:eastAsia="宋体" w:cs="宋体"/>
                <w:color w:val="auto"/>
                <w:sz w:val="21"/>
                <w:szCs w:val="21"/>
              </w:rPr>
            </w:pPr>
          </w:p>
        </w:tc>
        <w:tc>
          <w:tcPr>
            <w:tcW w:w="975" w:type="dxa"/>
            <w:vMerge w:val="restart"/>
            <w:vAlign w:val="center"/>
          </w:tcPr>
          <w:p w14:paraId="3127750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政务联通</w:t>
            </w:r>
          </w:p>
        </w:tc>
        <w:tc>
          <w:tcPr>
            <w:tcW w:w="1860" w:type="dxa"/>
            <w:vAlign w:val="center"/>
          </w:tcPr>
          <w:p w14:paraId="5633242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材料申报</w:t>
            </w:r>
          </w:p>
        </w:tc>
        <w:tc>
          <w:tcPr>
            <w:tcW w:w="4632" w:type="dxa"/>
            <w:vAlign w:val="center"/>
          </w:tcPr>
          <w:p w14:paraId="7DD6A419">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根据模板自动生成并提交各类申报材料，简化园区行政流程。</w:t>
            </w:r>
          </w:p>
        </w:tc>
      </w:tr>
      <w:tr w14:paraId="422EF6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A43DEC7">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79</w:t>
            </w:r>
          </w:p>
        </w:tc>
        <w:tc>
          <w:tcPr>
            <w:tcW w:w="660" w:type="dxa"/>
            <w:vMerge w:val="continue"/>
            <w:vAlign w:val="center"/>
          </w:tcPr>
          <w:p w14:paraId="127DA2D9">
            <w:pPr>
              <w:spacing w:line="360" w:lineRule="auto"/>
              <w:rPr>
                <w:rFonts w:hint="eastAsia" w:ascii="宋体" w:hAnsi="宋体" w:eastAsia="宋体" w:cs="宋体"/>
                <w:color w:val="auto"/>
                <w:sz w:val="21"/>
                <w:szCs w:val="21"/>
              </w:rPr>
            </w:pPr>
          </w:p>
        </w:tc>
        <w:tc>
          <w:tcPr>
            <w:tcW w:w="975" w:type="dxa"/>
            <w:vMerge w:val="continue"/>
            <w:vAlign w:val="center"/>
          </w:tcPr>
          <w:p w14:paraId="2C5C07A8">
            <w:pPr>
              <w:spacing w:line="360" w:lineRule="auto"/>
              <w:rPr>
                <w:rFonts w:hint="eastAsia" w:ascii="宋体" w:hAnsi="宋体" w:eastAsia="宋体" w:cs="宋体"/>
                <w:color w:val="auto"/>
                <w:sz w:val="21"/>
                <w:szCs w:val="21"/>
              </w:rPr>
            </w:pPr>
          </w:p>
        </w:tc>
        <w:tc>
          <w:tcPr>
            <w:tcW w:w="1860" w:type="dxa"/>
            <w:vAlign w:val="center"/>
          </w:tcPr>
          <w:p w14:paraId="79FCBE32">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政务通知查看</w:t>
            </w:r>
          </w:p>
        </w:tc>
        <w:tc>
          <w:tcPr>
            <w:tcW w:w="4632" w:type="dxa"/>
            <w:vAlign w:val="center"/>
          </w:tcPr>
          <w:p w14:paraId="4D8CF65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接收并查看政府主管部门发布的政策通知。</w:t>
            </w:r>
          </w:p>
        </w:tc>
      </w:tr>
      <w:tr w14:paraId="2E4099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624C95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80</w:t>
            </w:r>
          </w:p>
        </w:tc>
        <w:tc>
          <w:tcPr>
            <w:tcW w:w="660" w:type="dxa"/>
            <w:vMerge w:val="continue"/>
            <w:vAlign w:val="center"/>
          </w:tcPr>
          <w:p w14:paraId="75CF1C94">
            <w:pPr>
              <w:spacing w:line="360" w:lineRule="auto"/>
              <w:rPr>
                <w:rFonts w:hint="eastAsia" w:ascii="宋体" w:hAnsi="宋体" w:eastAsia="宋体" w:cs="宋体"/>
                <w:color w:val="auto"/>
                <w:sz w:val="21"/>
                <w:szCs w:val="21"/>
              </w:rPr>
            </w:pPr>
          </w:p>
        </w:tc>
        <w:tc>
          <w:tcPr>
            <w:tcW w:w="975" w:type="dxa"/>
            <w:vMerge w:val="continue"/>
            <w:vAlign w:val="center"/>
          </w:tcPr>
          <w:p w14:paraId="7ED5BA88">
            <w:pPr>
              <w:spacing w:line="360" w:lineRule="auto"/>
              <w:rPr>
                <w:rFonts w:hint="eastAsia" w:ascii="宋体" w:hAnsi="宋体" w:eastAsia="宋体" w:cs="宋体"/>
                <w:color w:val="auto"/>
                <w:sz w:val="21"/>
                <w:szCs w:val="21"/>
              </w:rPr>
            </w:pPr>
          </w:p>
        </w:tc>
        <w:tc>
          <w:tcPr>
            <w:tcW w:w="1860" w:type="dxa"/>
            <w:vAlign w:val="center"/>
          </w:tcPr>
          <w:p w14:paraId="287CA6E9">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建议</w:t>
            </w:r>
            <w:r>
              <w:rPr>
                <w:rFonts w:hint="eastAsia" w:ascii="宋体" w:hAnsi="宋体" w:eastAsia="宋体" w:cs="宋体"/>
                <w:color w:val="auto"/>
                <w:sz w:val="21"/>
                <w:szCs w:val="21"/>
              </w:rPr>
              <w:t>反馈</w:t>
            </w:r>
          </w:p>
        </w:tc>
        <w:tc>
          <w:tcPr>
            <w:tcW w:w="4632" w:type="dxa"/>
            <w:vAlign w:val="center"/>
          </w:tcPr>
          <w:p w14:paraId="6F89A54B">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直接向政府主管部门提交意见与反馈。</w:t>
            </w:r>
          </w:p>
        </w:tc>
      </w:tr>
      <w:tr w14:paraId="6B323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EA981D9">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81</w:t>
            </w:r>
          </w:p>
        </w:tc>
        <w:tc>
          <w:tcPr>
            <w:tcW w:w="660" w:type="dxa"/>
            <w:vMerge w:val="continue"/>
            <w:vAlign w:val="center"/>
          </w:tcPr>
          <w:p w14:paraId="7FDD80DB">
            <w:pPr>
              <w:spacing w:line="360" w:lineRule="auto"/>
              <w:rPr>
                <w:rFonts w:hint="eastAsia" w:ascii="宋体" w:hAnsi="宋体" w:eastAsia="宋体" w:cs="宋体"/>
                <w:color w:val="auto"/>
                <w:sz w:val="21"/>
                <w:szCs w:val="21"/>
              </w:rPr>
            </w:pPr>
          </w:p>
        </w:tc>
        <w:tc>
          <w:tcPr>
            <w:tcW w:w="975" w:type="dxa"/>
            <w:vMerge w:val="continue"/>
            <w:vAlign w:val="center"/>
          </w:tcPr>
          <w:p w14:paraId="633E3F91">
            <w:pPr>
              <w:spacing w:line="360" w:lineRule="auto"/>
              <w:rPr>
                <w:rFonts w:hint="eastAsia" w:ascii="宋体" w:hAnsi="宋体" w:eastAsia="宋体" w:cs="宋体"/>
                <w:color w:val="auto"/>
                <w:sz w:val="21"/>
                <w:szCs w:val="21"/>
              </w:rPr>
            </w:pPr>
          </w:p>
        </w:tc>
        <w:tc>
          <w:tcPr>
            <w:tcW w:w="1860" w:type="dxa"/>
            <w:vAlign w:val="center"/>
          </w:tcPr>
          <w:p w14:paraId="1CA6F9F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补贴管理</w:t>
            </w:r>
          </w:p>
        </w:tc>
        <w:tc>
          <w:tcPr>
            <w:tcW w:w="4632" w:type="dxa"/>
            <w:vAlign w:val="center"/>
          </w:tcPr>
          <w:p w14:paraId="7ABDB991">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查询和导出</w:t>
            </w:r>
            <w:r>
              <w:rPr>
                <w:rFonts w:hint="eastAsia" w:ascii="宋体" w:hAnsi="宋体" w:eastAsia="宋体" w:cs="宋体"/>
                <w:color w:val="auto"/>
                <w:sz w:val="21"/>
                <w:szCs w:val="21"/>
              </w:rPr>
              <w:t>补贴周期</w:t>
            </w:r>
            <w:r>
              <w:rPr>
                <w:rFonts w:hint="eastAsia" w:ascii="宋体" w:hAnsi="宋体" w:eastAsia="宋体" w:cs="宋体"/>
                <w:color w:val="auto"/>
                <w:sz w:val="21"/>
                <w:szCs w:val="21"/>
                <w:lang w:val="en-US" w:eastAsia="zh-CN"/>
              </w:rPr>
              <w:t>的补贴人次详情和统计数据。</w:t>
            </w:r>
          </w:p>
        </w:tc>
      </w:tr>
      <w:tr w14:paraId="07FA6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F594B7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82</w:t>
            </w:r>
          </w:p>
        </w:tc>
        <w:tc>
          <w:tcPr>
            <w:tcW w:w="660" w:type="dxa"/>
            <w:vMerge w:val="continue"/>
            <w:vAlign w:val="center"/>
          </w:tcPr>
          <w:p w14:paraId="52221A4E">
            <w:pPr>
              <w:spacing w:line="360" w:lineRule="auto"/>
              <w:rPr>
                <w:rFonts w:hint="eastAsia" w:ascii="宋体" w:hAnsi="宋体" w:eastAsia="宋体" w:cs="宋体"/>
                <w:color w:val="auto"/>
                <w:sz w:val="21"/>
                <w:szCs w:val="21"/>
              </w:rPr>
            </w:pPr>
          </w:p>
        </w:tc>
        <w:tc>
          <w:tcPr>
            <w:tcW w:w="975" w:type="dxa"/>
            <w:vAlign w:val="center"/>
          </w:tcPr>
          <w:p w14:paraId="4864CEC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园区设置</w:t>
            </w:r>
          </w:p>
        </w:tc>
        <w:tc>
          <w:tcPr>
            <w:tcW w:w="1860" w:type="dxa"/>
            <w:vAlign w:val="center"/>
          </w:tcPr>
          <w:p w14:paraId="7CC280F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园区设置</w:t>
            </w:r>
          </w:p>
        </w:tc>
        <w:tc>
          <w:tcPr>
            <w:tcW w:w="4632" w:type="dxa"/>
            <w:vAlign w:val="center"/>
          </w:tcPr>
          <w:p w14:paraId="33F8A31E">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创建班级，统一配置员工考勤规则、婴幼儿考勤规则，及园区婴幼儿合同服务协议以及园区教师端记录项配置、大屏照片管理设置。</w:t>
            </w:r>
          </w:p>
        </w:tc>
      </w:tr>
      <w:tr w14:paraId="6A34E04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0E02BB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83</w:t>
            </w:r>
          </w:p>
        </w:tc>
        <w:tc>
          <w:tcPr>
            <w:tcW w:w="660" w:type="dxa"/>
            <w:vMerge w:val="continue"/>
            <w:vAlign w:val="center"/>
          </w:tcPr>
          <w:p w14:paraId="7C6CD58E">
            <w:pPr>
              <w:spacing w:line="360" w:lineRule="auto"/>
              <w:rPr>
                <w:rFonts w:hint="eastAsia" w:ascii="宋体" w:hAnsi="宋体" w:eastAsia="宋体" w:cs="宋体"/>
                <w:color w:val="auto"/>
                <w:sz w:val="21"/>
                <w:szCs w:val="21"/>
              </w:rPr>
            </w:pPr>
          </w:p>
        </w:tc>
        <w:tc>
          <w:tcPr>
            <w:tcW w:w="975" w:type="dxa"/>
            <w:vMerge w:val="restart"/>
            <w:vAlign w:val="center"/>
          </w:tcPr>
          <w:p w14:paraId="5282D14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教师端子系统</w:t>
            </w:r>
          </w:p>
        </w:tc>
        <w:tc>
          <w:tcPr>
            <w:tcW w:w="1860" w:type="dxa"/>
            <w:vAlign w:val="center"/>
          </w:tcPr>
          <w:p w14:paraId="0DD14167">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招生运营</w:t>
            </w:r>
          </w:p>
        </w:tc>
        <w:tc>
          <w:tcPr>
            <w:tcW w:w="4632" w:type="dxa"/>
            <w:vAlign w:val="center"/>
          </w:tcPr>
          <w:p w14:paraId="7F77166E">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招生话术、推广海报、地推扫码及预约管理，以及客户跟进。</w:t>
            </w:r>
          </w:p>
        </w:tc>
      </w:tr>
      <w:tr w14:paraId="427C72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E4A84E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84</w:t>
            </w:r>
          </w:p>
        </w:tc>
        <w:tc>
          <w:tcPr>
            <w:tcW w:w="660" w:type="dxa"/>
            <w:vMerge w:val="continue"/>
            <w:vAlign w:val="center"/>
          </w:tcPr>
          <w:p w14:paraId="4CC1C8D2">
            <w:pPr>
              <w:spacing w:line="360" w:lineRule="auto"/>
              <w:rPr>
                <w:rFonts w:hint="eastAsia" w:ascii="宋体" w:hAnsi="宋体" w:eastAsia="宋体" w:cs="宋体"/>
                <w:color w:val="auto"/>
                <w:sz w:val="21"/>
                <w:szCs w:val="21"/>
              </w:rPr>
            </w:pPr>
          </w:p>
        </w:tc>
        <w:tc>
          <w:tcPr>
            <w:tcW w:w="975" w:type="dxa"/>
            <w:vMerge w:val="continue"/>
            <w:vAlign w:val="center"/>
          </w:tcPr>
          <w:p w14:paraId="545FC32B">
            <w:pPr>
              <w:snapToGrid w:val="0"/>
              <w:spacing w:before="0" w:after="0" w:line="360" w:lineRule="auto"/>
              <w:jc w:val="center"/>
              <w:rPr>
                <w:rFonts w:hint="eastAsia" w:ascii="宋体" w:hAnsi="宋体" w:eastAsia="宋体" w:cs="宋体"/>
                <w:color w:val="auto"/>
                <w:sz w:val="21"/>
                <w:szCs w:val="21"/>
                <w:lang w:val="en-US" w:eastAsia="zh-CN"/>
              </w:rPr>
            </w:pPr>
          </w:p>
        </w:tc>
        <w:tc>
          <w:tcPr>
            <w:tcW w:w="1860" w:type="dxa"/>
            <w:vAlign w:val="center"/>
          </w:tcPr>
          <w:p w14:paraId="5EFB421E">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宝宝相册</w:t>
            </w:r>
          </w:p>
        </w:tc>
        <w:tc>
          <w:tcPr>
            <w:tcW w:w="4632" w:type="dxa"/>
            <w:vAlign w:val="center"/>
          </w:tcPr>
          <w:p w14:paraId="7C19362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老师手动上传婴幼儿照片与视频，供家长在端上查看。</w:t>
            </w:r>
          </w:p>
        </w:tc>
      </w:tr>
      <w:tr w14:paraId="0E7B46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F5DCC5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85</w:t>
            </w:r>
          </w:p>
        </w:tc>
        <w:tc>
          <w:tcPr>
            <w:tcW w:w="660" w:type="dxa"/>
            <w:vMerge w:val="continue"/>
            <w:vAlign w:val="center"/>
          </w:tcPr>
          <w:p w14:paraId="4A3F4DEC">
            <w:pPr>
              <w:spacing w:line="360" w:lineRule="auto"/>
              <w:rPr>
                <w:rFonts w:hint="eastAsia" w:ascii="宋体" w:hAnsi="宋体" w:eastAsia="宋体" w:cs="宋体"/>
                <w:color w:val="auto"/>
                <w:sz w:val="21"/>
                <w:szCs w:val="21"/>
              </w:rPr>
            </w:pPr>
          </w:p>
        </w:tc>
        <w:tc>
          <w:tcPr>
            <w:tcW w:w="975" w:type="dxa"/>
            <w:vMerge w:val="continue"/>
            <w:vAlign w:val="center"/>
          </w:tcPr>
          <w:p w14:paraId="628FE997">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1A66995D">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本周计划</w:t>
            </w:r>
          </w:p>
        </w:tc>
        <w:tc>
          <w:tcPr>
            <w:tcW w:w="4632" w:type="dxa"/>
            <w:vAlign w:val="center"/>
          </w:tcPr>
          <w:p w14:paraId="55A908F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展示本周及下周的课程安排详情，支持查看每日课程概览。</w:t>
            </w:r>
          </w:p>
        </w:tc>
      </w:tr>
      <w:tr w14:paraId="672D7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F8F91D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86</w:t>
            </w:r>
          </w:p>
        </w:tc>
        <w:tc>
          <w:tcPr>
            <w:tcW w:w="660" w:type="dxa"/>
            <w:vMerge w:val="continue"/>
            <w:vAlign w:val="center"/>
          </w:tcPr>
          <w:p w14:paraId="15078CC7">
            <w:pPr>
              <w:spacing w:line="360" w:lineRule="auto"/>
              <w:rPr>
                <w:rFonts w:hint="eastAsia" w:ascii="宋体" w:hAnsi="宋体" w:eastAsia="宋体" w:cs="宋体"/>
                <w:color w:val="auto"/>
                <w:sz w:val="21"/>
                <w:szCs w:val="21"/>
              </w:rPr>
            </w:pPr>
          </w:p>
        </w:tc>
        <w:tc>
          <w:tcPr>
            <w:tcW w:w="975" w:type="dxa"/>
            <w:vMerge w:val="continue"/>
            <w:vAlign w:val="center"/>
          </w:tcPr>
          <w:p w14:paraId="617BCC8C">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0C85E2CD">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园区考勤</w:t>
            </w:r>
          </w:p>
        </w:tc>
        <w:tc>
          <w:tcPr>
            <w:tcW w:w="4632" w:type="dxa"/>
            <w:vAlign w:val="center"/>
          </w:tcPr>
          <w:p w14:paraId="620941B6">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按日、周、月维度统计并记录每个婴幼儿的考勤信息，支持录入与签退。</w:t>
            </w:r>
          </w:p>
        </w:tc>
      </w:tr>
      <w:tr w14:paraId="176D11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13B96A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87</w:t>
            </w:r>
          </w:p>
        </w:tc>
        <w:tc>
          <w:tcPr>
            <w:tcW w:w="660" w:type="dxa"/>
            <w:vMerge w:val="continue"/>
            <w:vAlign w:val="center"/>
          </w:tcPr>
          <w:p w14:paraId="4202E27B">
            <w:pPr>
              <w:spacing w:line="360" w:lineRule="auto"/>
              <w:rPr>
                <w:rFonts w:hint="eastAsia" w:ascii="宋体" w:hAnsi="宋体" w:eastAsia="宋体" w:cs="宋体"/>
                <w:color w:val="auto"/>
                <w:sz w:val="21"/>
                <w:szCs w:val="21"/>
              </w:rPr>
            </w:pPr>
          </w:p>
        </w:tc>
        <w:tc>
          <w:tcPr>
            <w:tcW w:w="975" w:type="dxa"/>
            <w:vMerge w:val="continue"/>
            <w:vAlign w:val="center"/>
          </w:tcPr>
          <w:p w14:paraId="23EBFA70">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666E6807">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本周食谱</w:t>
            </w:r>
          </w:p>
        </w:tc>
        <w:tc>
          <w:tcPr>
            <w:tcW w:w="4632" w:type="dxa"/>
            <w:vAlign w:val="center"/>
          </w:tcPr>
          <w:p w14:paraId="3746E1E0">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编辑及发布婴幼儿本周食谱情况</w:t>
            </w:r>
            <w:r>
              <w:rPr>
                <w:rFonts w:hint="eastAsia" w:ascii="宋体" w:hAnsi="宋体" w:eastAsia="宋体" w:cs="宋体"/>
                <w:color w:val="auto"/>
                <w:sz w:val="21"/>
                <w:szCs w:val="21"/>
              </w:rPr>
              <w:t>。</w:t>
            </w:r>
          </w:p>
        </w:tc>
      </w:tr>
      <w:tr w14:paraId="48A847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22D46FB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88</w:t>
            </w:r>
          </w:p>
        </w:tc>
        <w:tc>
          <w:tcPr>
            <w:tcW w:w="660" w:type="dxa"/>
            <w:vMerge w:val="continue"/>
            <w:vAlign w:val="center"/>
          </w:tcPr>
          <w:p w14:paraId="43F21188">
            <w:pPr>
              <w:spacing w:line="360" w:lineRule="auto"/>
              <w:rPr>
                <w:rFonts w:hint="eastAsia" w:ascii="宋体" w:hAnsi="宋体" w:eastAsia="宋体" w:cs="宋体"/>
                <w:color w:val="auto"/>
                <w:sz w:val="21"/>
                <w:szCs w:val="21"/>
              </w:rPr>
            </w:pPr>
          </w:p>
        </w:tc>
        <w:tc>
          <w:tcPr>
            <w:tcW w:w="975" w:type="dxa"/>
            <w:vMerge w:val="continue"/>
            <w:vAlign w:val="center"/>
          </w:tcPr>
          <w:p w14:paraId="1D200215">
            <w:pPr>
              <w:spacing w:line="360" w:lineRule="auto"/>
              <w:rPr>
                <w:rFonts w:hint="eastAsia" w:ascii="宋体" w:hAnsi="宋体" w:eastAsia="宋体" w:cs="宋体"/>
                <w:color w:val="auto"/>
                <w:sz w:val="21"/>
                <w:szCs w:val="21"/>
              </w:rPr>
            </w:pPr>
          </w:p>
        </w:tc>
        <w:tc>
          <w:tcPr>
            <w:tcW w:w="1860" w:type="dxa"/>
            <w:vAlign w:val="center"/>
          </w:tcPr>
          <w:p w14:paraId="7D70F71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成长记录</w:t>
            </w:r>
          </w:p>
        </w:tc>
        <w:tc>
          <w:tcPr>
            <w:tcW w:w="4632" w:type="dxa"/>
            <w:vAlign w:val="center"/>
          </w:tcPr>
          <w:p w14:paraId="7DE149E0">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记录婴幼儿的身高、体重、头围生长记录</w:t>
            </w:r>
            <w:r>
              <w:rPr>
                <w:rFonts w:hint="eastAsia" w:ascii="宋体" w:hAnsi="宋体" w:eastAsia="宋体" w:cs="宋体"/>
                <w:color w:val="auto"/>
                <w:sz w:val="21"/>
                <w:szCs w:val="21"/>
              </w:rPr>
              <w:t>。</w:t>
            </w:r>
          </w:p>
        </w:tc>
      </w:tr>
      <w:tr w14:paraId="604086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F82C7D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89</w:t>
            </w:r>
          </w:p>
        </w:tc>
        <w:tc>
          <w:tcPr>
            <w:tcW w:w="660" w:type="dxa"/>
            <w:vMerge w:val="continue"/>
            <w:vAlign w:val="center"/>
          </w:tcPr>
          <w:p w14:paraId="61069467">
            <w:pPr>
              <w:spacing w:line="360" w:lineRule="auto"/>
              <w:rPr>
                <w:rFonts w:hint="eastAsia" w:ascii="宋体" w:hAnsi="宋体" w:eastAsia="宋体" w:cs="宋体"/>
                <w:color w:val="auto"/>
                <w:sz w:val="21"/>
                <w:szCs w:val="21"/>
              </w:rPr>
            </w:pPr>
          </w:p>
        </w:tc>
        <w:tc>
          <w:tcPr>
            <w:tcW w:w="975" w:type="dxa"/>
            <w:vMerge w:val="continue"/>
            <w:vAlign w:val="center"/>
          </w:tcPr>
          <w:p w14:paraId="68F9254E">
            <w:pPr>
              <w:spacing w:line="360" w:lineRule="auto"/>
              <w:rPr>
                <w:rFonts w:hint="eastAsia" w:ascii="宋体" w:hAnsi="宋体" w:eastAsia="宋体" w:cs="宋体"/>
                <w:color w:val="auto"/>
                <w:sz w:val="21"/>
                <w:szCs w:val="21"/>
              </w:rPr>
            </w:pPr>
          </w:p>
        </w:tc>
        <w:tc>
          <w:tcPr>
            <w:tcW w:w="1860" w:type="dxa"/>
            <w:vAlign w:val="center"/>
          </w:tcPr>
          <w:p w14:paraId="7A92E9CB">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宝宝管理</w:t>
            </w:r>
          </w:p>
        </w:tc>
        <w:tc>
          <w:tcPr>
            <w:tcW w:w="4632" w:type="dxa"/>
            <w:vAlign w:val="center"/>
          </w:tcPr>
          <w:p w14:paraId="63117BCA">
            <w:pPr>
              <w:snapToGrid w:val="0"/>
              <w:spacing w:before="0" w:after="0" w:line="360" w:lineRule="auto"/>
              <w:rPr>
                <w:rFonts w:hint="eastAsia" w:ascii="宋体" w:hAnsi="宋体" w:eastAsia="宋体" w:cs="宋体"/>
                <w:color w:val="auto"/>
                <w:sz w:val="21"/>
                <w:szCs w:val="21"/>
                <w:lang w:val="en-US"/>
              </w:rPr>
            </w:pPr>
            <w:r>
              <w:rPr>
                <w:rFonts w:hint="eastAsia" w:ascii="宋体" w:hAnsi="宋体" w:eastAsia="宋体" w:cs="宋体"/>
                <w:color w:val="auto"/>
                <w:sz w:val="21"/>
                <w:szCs w:val="21"/>
                <w:lang w:val="en-US" w:eastAsia="zh-CN"/>
              </w:rPr>
              <w:t>新增入学宝宝信息，并编辑或操作离校及删除，支持手动录入添加合同管理。</w:t>
            </w:r>
          </w:p>
        </w:tc>
      </w:tr>
      <w:tr w14:paraId="1627F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D014F78">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90</w:t>
            </w:r>
          </w:p>
        </w:tc>
        <w:tc>
          <w:tcPr>
            <w:tcW w:w="660" w:type="dxa"/>
            <w:vMerge w:val="continue"/>
            <w:vAlign w:val="center"/>
          </w:tcPr>
          <w:p w14:paraId="5B7876B1">
            <w:pPr>
              <w:spacing w:line="360" w:lineRule="auto"/>
              <w:rPr>
                <w:rFonts w:hint="eastAsia" w:ascii="宋体" w:hAnsi="宋体" w:eastAsia="宋体" w:cs="宋体"/>
                <w:color w:val="auto"/>
                <w:sz w:val="21"/>
                <w:szCs w:val="21"/>
              </w:rPr>
            </w:pPr>
          </w:p>
        </w:tc>
        <w:tc>
          <w:tcPr>
            <w:tcW w:w="975" w:type="dxa"/>
            <w:vMerge w:val="continue"/>
            <w:vAlign w:val="center"/>
          </w:tcPr>
          <w:p w14:paraId="750FE53A">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6924E42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发送通知</w:t>
            </w:r>
          </w:p>
        </w:tc>
        <w:tc>
          <w:tcPr>
            <w:tcW w:w="4632" w:type="dxa"/>
            <w:vAlign w:val="center"/>
          </w:tcPr>
          <w:p w14:paraId="646D8A8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编辑及发布园区班级通知推送到家长端</w:t>
            </w:r>
            <w:r>
              <w:rPr>
                <w:rFonts w:hint="eastAsia" w:ascii="宋体" w:hAnsi="宋体" w:eastAsia="宋体" w:cs="宋体"/>
                <w:color w:val="auto"/>
                <w:sz w:val="21"/>
                <w:szCs w:val="21"/>
              </w:rPr>
              <w:t>。</w:t>
            </w:r>
          </w:p>
        </w:tc>
      </w:tr>
      <w:tr w14:paraId="02AEFF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9692065">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91</w:t>
            </w:r>
          </w:p>
        </w:tc>
        <w:tc>
          <w:tcPr>
            <w:tcW w:w="660" w:type="dxa"/>
            <w:vMerge w:val="continue"/>
            <w:vAlign w:val="center"/>
          </w:tcPr>
          <w:p w14:paraId="21F7464A">
            <w:pPr>
              <w:spacing w:line="360" w:lineRule="auto"/>
              <w:rPr>
                <w:rFonts w:hint="eastAsia" w:ascii="宋体" w:hAnsi="宋体" w:eastAsia="宋体" w:cs="宋体"/>
                <w:color w:val="auto"/>
                <w:sz w:val="21"/>
                <w:szCs w:val="21"/>
              </w:rPr>
            </w:pPr>
          </w:p>
        </w:tc>
        <w:tc>
          <w:tcPr>
            <w:tcW w:w="975" w:type="dxa"/>
            <w:vMerge w:val="continue"/>
            <w:vAlign w:val="center"/>
          </w:tcPr>
          <w:p w14:paraId="14F37FA8">
            <w:pPr>
              <w:spacing w:line="360" w:lineRule="auto"/>
              <w:rPr>
                <w:rFonts w:hint="eastAsia" w:ascii="宋体" w:hAnsi="宋体" w:eastAsia="宋体" w:cs="宋体"/>
                <w:color w:val="auto"/>
                <w:sz w:val="21"/>
                <w:szCs w:val="21"/>
              </w:rPr>
            </w:pPr>
          </w:p>
        </w:tc>
        <w:tc>
          <w:tcPr>
            <w:tcW w:w="1860" w:type="dxa"/>
            <w:vAlign w:val="center"/>
          </w:tcPr>
          <w:p w14:paraId="5A758E3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今日提醒</w:t>
            </w:r>
          </w:p>
        </w:tc>
        <w:tc>
          <w:tcPr>
            <w:tcW w:w="4632" w:type="dxa"/>
            <w:vAlign w:val="center"/>
          </w:tcPr>
          <w:p w14:paraId="5073B85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宝宝健康、宝宝情绪、园区环境及考勤打卡信息提醒</w:t>
            </w:r>
            <w:r>
              <w:rPr>
                <w:rFonts w:hint="eastAsia" w:ascii="宋体" w:hAnsi="宋体" w:eastAsia="宋体" w:cs="宋体"/>
                <w:color w:val="auto"/>
                <w:sz w:val="21"/>
                <w:szCs w:val="21"/>
              </w:rPr>
              <w:t>。</w:t>
            </w:r>
          </w:p>
        </w:tc>
      </w:tr>
      <w:tr w14:paraId="4B0ED8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E0E2DB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92</w:t>
            </w:r>
          </w:p>
        </w:tc>
        <w:tc>
          <w:tcPr>
            <w:tcW w:w="660" w:type="dxa"/>
            <w:vMerge w:val="continue"/>
            <w:vAlign w:val="center"/>
          </w:tcPr>
          <w:p w14:paraId="7871407E">
            <w:pPr>
              <w:spacing w:line="360" w:lineRule="auto"/>
              <w:rPr>
                <w:rFonts w:hint="eastAsia" w:ascii="宋体" w:hAnsi="宋体" w:eastAsia="宋体" w:cs="宋体"/>
                <w:color w:val="auto"/>
                <w:sz w:val="21"/>
                <w:szCs w:val="21"/>
              </w:rPr>
            </w:pPr>
          </w:p>
        </w:tc>
        <w:tc>
          <w:tcPr>
            <w:tcW w:w="975" w:type="dxa"/>
            <w:vMerge w:val="continue"/>
            <w:vAlign w:val="center"/>
          </w:tcPr>
          <w:p w14:paraId="74EA7837">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021C068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按宝宝录入</w:t>
            </w:r>
          </w:p>
        </w:tc>
        <w:tc>
          <w:tcPr>
            <w:tcW w:w="4632" w:type="dxa"/>
            <w:vAlign w:val="center"/>
          </w:tcPr>
          <w:p w14:paraId="4C8E6360">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支持批量录入婴幼儿每日托育记录：</w:t>
            </w:r>
          </w:p>
          <w:p w14:paraId="6B13922A">
            <w:pPr>
              <w:numPr>
                <w:ilvl w:val="0"/>
                <w:numId w:val="15"/>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一日三检：婴幼儿晨午晚三检、离园记录；</w:t>
            </w:r>
          </w:p>
          <w:p w14:paraId="2746B4A0">
            <w:pPr>
              <w:numPr>
                <w:ilvl w:val="0"/>
                <w:numId w:val="15"/>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饮食记录：婴幼儿早餐、上午点、午餐下午点、晚餐、水果及喂奶饮水记录；</w:t>
            </w:r>
          </w:p>
          <w:p w14:paraId="5B1554C8">
            <w:pPr>
              <w:numPr>
                <w:ilvl w:val="0"/>
                <w:numId w:val="15"/>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照护记录：婴幼儿睡眠、小便、大便、换尿片、洗澡、更换衣物记录；</w:t>
            </w:r>
          </w:p>
          <w:p w14:paraId="22038F52">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成长互动：今日总结、给家长留言、活动、宝宝情绪及能力测评记录。</w:t>
            </w:r>
          </w:p>
        </w:tc>
      </w:tr>
      <w:tr w14:paraId="0D4B63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769F59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93</w:t>
            </w:r>
          </w:p>
        </w:tc>
        <w:tc>
          <w:tcPr>
            <w:tcW w:w="660" w:type="dxa"/>
            <w:vMerge w:val="continue"/>
            <w:vAlign w:val="center"/>
          </w:tcPr>
          <w:p w14:paraId="2DC865FD">
            <w:pPr>
              <w:spacing w:line="360" w:lineRule="auto"/>
              <w:rPr>
                <w:rFonts w:hint="eastAsia" w:ascii="宋体" w:hAnsi="宋体" w:eastAsia="宋体" w:cs="宋体"/>
                <w:color w:val="auto"/>
                <w:sz w:val="21"/>
                <w:szCs w:val="21"/>
              </w:rPr>
            </w:pPr>
          </w:p>
        </w:tc>
        <w:tc>
          <w:tcPr>
            <w:tcW w:w="975" w:type="dxa"/>
            <w:vMerge w:val="continue"/>
            <w:vAlign w:val="center"/>
          </w:tcPr>
          <w:p w14:paraId="2457CFD7">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35B3A22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按事项录入</w:t>
            </w:r>
          </w:p>
        </w:tc>
        <w:tc>
          <w:tcPr>
            <w:tcW w:w="4632" w:type="dxa"/>
            <w:vAlign w:val="center"/>
          </w:tcPr>
          <w:p w14:paraId="55CE768B">
            <w:pPr>
              <w:numPr>
                <w:ilvl w:val="0"/>
                <w:numId w:val="0"/>
              </w:num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支持批量录入：</w:t>
            </w:r>
          </w:p>
          <w:p w14:paraId="59BD555D">
            <w:pPr>
              <w:numPr>
                <w:ilvl w:val="0"/>
                <w:numId w:val="16"/>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一日三检：婴幼儿晨检签到，午检晚检及离园记录；</w:t>
            </w:r>
          </w:p>
          <w:p w14:paraId="2446330C">
            <w:pPr>
              <w:numPr>
                <w:ilvl w:val="0"/>
                <w:numId w:val="16"/>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饮食记录：婴幼儿早餐、上午点、午餐下午点、晚餐、水果及喂奶饮水记录；</w:t>
            </w:r>
          </w:p>
          <w:p w14:paraId="71F2B29A">
            <w:pPr>
              <w:numPr>
                <w:ilvl w:val="0"/>
                <w:numId w:val="16"/>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照护记录：婴幼儿睡眠、小便、大便、换尿片、洗澡、更换衣物记录；</w:t>
            </w:r>
          </w:p>
          <w:p w14:paraId="580B3DCF">
            <w:pPr>
              <w:numPr>
                <w:ilvl w:val="0"/>
                <w:numId w:val="16"/>
              </w:num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成长互动：今日总结、给家长留言、活动、宝宝情绪及能力测评记录。</w:t>
            </w:r>
          </w:p>
        </w:tc>
      </w:tr>
      <w:tr w14:paraId="355AC8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0E61889">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94</w:t>
            </w:r>
          </w:p>
        </w:tc>
        <w:tc>
          <w:tcPr>
            <w:tcW w:w="660" w:type="dxa"/>
            <w:vMerge w:val="continue"/>
            <w:vAlign w:val="center"/>
          </w:tcPr>
          <w:p w14:paraId="7E1F4952">
            <w:pPr>
              <w:spacing w:line="360" w:lineRule="auto"/>
              <w:rPr>
                <w:rFonts w:hint="eastAsia" w:ascii="宋体" w:hAnsi="宋体" w:eastAsia="宋体" w:cs="宋体"/>
                <w:color w:val="auto"/>
                <w:sz w:val="21"/>
                <w:szCs w:val="21"/>
              </w:rPr>
            </w:pPr>
          </w:p>
        </w:tc>
        <w:tc>
          <w:tcPr>
            <w:tcW w:w="975" w:type="dxa"/>
            <w:vMerge w:val="continue"/>
            <w:vAlign w:val="center"/>
          </w:tcPr>
          <w:p w14:paraId="4DCCC7EA">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11F31FC1">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strike w:val="0"/>
                <w:dstrike w:val="0"/>
                <w:color w:val="auto"/>
                <w:sz w:val="21"/>
                <w:szCs w:val="21"/>
                <w:highlight w:val="none"/>
                <w:lang w:val="en-US" w:eastAsia="zh-CN"/>
              </w:rPr>
              <w:t>园区主页</w:t>
            </w:r>
          </w:p>
        </w:tc>
        <w:tc>
          <w:tcPr>
            <w:tcW w:w="4632" w:type="dxa"/>
            <w:vAlign w:val="center"/>
          </w:tcPr>
          <w:p w14:paraId="64C2C423">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入驻完善园区详细信息、老师、课程等内容。</w:t>
            </w:r>
          </w:p>
        </w:tc>
      </w:tr>
      <w:tr w14:paraId="3A7AF4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CE06673">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95</w:t>
            </w:r>
          </w:p>
        </w:tc>
        <w:tc>
          <w:tcPr>
            <w:tcW w:w="660" w:type="dxa"/>
            <w:vMerge w:val="continue"/>
            <w:vAlign w:val="center"/>
          </w:tcPr>
          <w:p w14:paraId="39A25B2F">
            <w:pPr>
              <w:spacing w:line="360" w:lineRule="auto"/>
              <w:rPr>
                <w:rFonts w:hint="eastAsia" w:ascii="宋体" w:hAnsi="宋体" w:eastAsia="宋体" w:cs="宋体"/>
                <w:color w:val="auto"/>
                <w:sz w:val="21"/>
                <w:szCs w:val="21"/>
              </w:rPr>
            </w:pPr>
          </w:p>
        </w:tc>
        <w:tc>
          <w:tcPr>
            <w:tcW w:w="975" w:type="dxa"/>
            <w:vMerge w:val="continue"/>
            <w:vAlign w:val="center"/>
          </w:tcPr>
          <w:p w14:paraId="184322E1">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6A9CB18A">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职业教育</w:t>
            </w:r>
          </w:p>
        </w:tc>
        <w:tc>
          <w:tcPr>
            <w:tcW w:w="4632" w:type="dxa"/>
            <w:vAlign w:val="center"/>
          </w:tcPr>
          <w:p w14:paraId="6AA0945E">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rPr>
              <w:t>提供</w:t>
            </w:r>
            <w:r>
              <w:rPr>
                <w:rFonts w:hint="eastAsia" w:ascii="宋体" w:hAnsi="宋体" w:eastAsia="宋体" w:cs="宋体"/>
                <w:color w:val="auto"/>
                <w:sz w:val="21"/>
                <w:szCs w:val="21"/>
                <w:lang w:val="en-US" w:eastAsia="zh-CN"/>
              </w:rPr>
              <w:t>专家讲师、营养喂养、生活照料、疾病预防、伤害处理、心理照护、辅食制作、家园共育、政策法规、职业伦理、运营管理、装修设计等权威</w:t>
            </w:r>
            <w:r>
              <w:rPr>
                <w:rFonts w:hint="eastAsia" w:ascii="宋体" w:hAnsi="宋体" w:eastAsia="宋体" w:cs="宋体"/>
                <w:color w:val="auto"/>
                <w:sz w:val="21"/>
                <w:szCs w:val="21"/>
              </w:rPr>
              <w:t>托育职业课程资源，供园区员工学习</w:t>
            </w:r>
            <w:r>
              <w:rPr>
                <w:rFonts w:hint="eastAsia" w:ascii="宋体" w:hAnsi="宋体" w:eastAsia="宋体" w:cs="宋体"/>
                <w:color w:val="auto"/>
                <w:sz w:val="21"/>
                <w:szCs w:val="21"/>
                <w:lang w:eastAsia="zh-CN"/>
              </w:rPr>
              <w:t>。</w:t>
            </w:r>
          </w:p>
        </w:tc>
      </w:tr>
      <w:tr w14:paraId="17A263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0F97B42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96</w:t>
            </w:r>
          </w:p>
        </w:tc>
        <w:tc>
          <w:tcPr>
            <w:tcW w:w="660" w:type="dxa"/>
            <w:vMerge w:val="continue"/>
            <w:vAlign w:val="center"/>
          </w:tcPr>
          <w:p w14:paraId="485226CF">
            <w:pPr>
              <w:spacing w:line="360" w:lineRule="auto"/>
              <w:rPr>
                <w:rFonts w:hint="eastAsia" w:ascii="宋体" w:hAnsi="宋体" w:eastAsia="宋体" w:cs="宋体"/>
                <w:color w:val="auto"/>
                <w:sz w:val="21"/>
                <w:szCs w:val="21"/>
              </w:rPr>
            </w:pPr>
          </w:p>
        </w:tc>
        <w:tc>
          <w:tcPr>
            <w:tcW w:w="975" w:type="dxa"/>
            <w:vMerge w:val="continue"/>
            <w:vAlign w:val="center"/>
          </w:tcPr>
          <w:p w14:paraId="7F7A6EB3">
            <w:pPr>
              <w:snapToGrid w:val="0"/>
              <w:spacing w:before="0" w:after="0" w:line="360" w:lineRule="auto"/>
              <w:jc w:val="center"/>
              <w:rPr>
                <w:rFonts w:hint="eastAsia" w:ascii="宋体" w:hAnsi="宋体" w:eastAsia="宋体" w:cs="宋体"/>
                <w:color w:val="auto"/>
                <w:sz w:val="21"/>
                <w:szCs w:val="21"/>
              </w:rPr>
            </w:pPr>
          </w:p>
        </w:tc>
        <w:tc>
          <w:tcPr>
            <w:tcW w:w="1860" w:type="dxa"/>
            <w:vAlign w:val="center"/>
          </w:tcPr>
          <w:p w14:paraId="42E19FEC">
            <w:pPr>
              <w:snapToGrid w:val="0"/>
              <w:spacing w:before="0"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消息</w:t>
            </w:r>
          </w:p>
        </w:tc>
        <w:tc>
          <w:tcPr>
            <w:tcW w:w="4632" w:type="dxa"/>
            <w:vAlign w:val="center"/>
          </w:tcPr>
          <w:p w14:paraId="2CAF6DBD">
            <w:pPr>
              <w:snapToGrid w:val="0"/>
              <w:spacing w:before="0" w:after="0" w:line="360" w:lineRule="auto"/>
              <w:rPr>
                <w:rFonts w:hint="eastAsia" w:ascii="宋体" w:hAnsi="宋体" w:eastAsia="宋体" w:cs="宋体"/>
                <w:color w:val="auto"/>
                <w:sz w:val="21"/>
                <w:szCs w:val="21"/>
                <w:highlight w:val="yellow"/>
              </w:rPr>
            </w:pPr>
            <w:r>
              <w:rPr>
                <w:rFonts w:hint="eastAsia" w:ascii="宋体" w:hAnsi="宋体" w:eastAsia="宋体" w:cs="宋体"/>
                <w:color w:val="auto"/>
                <w:sz w:val="21"/>
                <w:szCs w:val="21"/>
                <w:highlight w:val="none"/>
                <w:lang w:val="en-US" w:eastAsia="zh-CN"/>
              </w:rPr>
              <w:t>发布及接收园区班级通知</w:t>
            </w:r>
            <w:r>
              <w:rPr>
                <w:rFonts w:hint="eastAsia" w:ascii="宋体" w:hAnsi="宋体" w:eastAsia="宋体" w:cs="宋体"/>
                <w:color w:val="auto"/>
                <w:sz w:val="21"/>
                <w:szCs w:val="21"/>
                <w:highlight w:val="none"/>
              </w:rPr>
              <w:t>。</w:t>
            </w:r>
          </w:p>
        </w:tc>
      </w:tr>
      <w:tr w14:paraId="48048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4A1CC3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97</w:t>
            </w:r>
          </w:p>
        </w:tc>
        <w:tc>
          <w:tcPr>
            <w:tcW w:w="660" w:type="dxa"/>
            <w:vMerge w:val="restart"/>
            <w:vAlign w:val="center"/>
          </w:tcPr>
          <w:p w14:paraId="1D19325E">
            <w:pPr>
              <w:spacing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家长服务子系统</w:t>
            </w:r>
          </w:p>
        </w:tc>
        <w:tc>
          <w:tcPr>
            <w:tcW w:w="975" w:type="dxa"/>
            <w:vMerge w:val="restart"/>
            <w:vAlign w:val="center"/>
          </w:tcPr>
          <w:p w14:paraId="17C96352">
            <w:pPr>
              <w:snapToGrid w:val="0"/>
              <w:spacing w:before="0" w:after="0" w:line="360" w:lineRule="auto"/>
              <w:jc w:val="center"/>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查找园区</w:t>
            </w:r>
          </w:p>
        </w:tc>
        <w:tc>
          <w:tcPr>
            <w:tcW w:w="1860" w:type="dxa"/>
            <w:vAlign w:val="center"/>
          </w:tcPr>
          <w:p w14:paraId="1FD5E77F">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定位</w:t>
            </w:r>
          </w:p>
        </w:tc>
        <w:tc>
          <w:tcPr>
            <w:tcW w:w="4632" w:type="dxa"/>
            <w:vAlign w:val="center"/>
          </w:tcPr>
          <w:p w14:paraId="6CA43F9A">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获取用户精准定位，展示用户当前位置信息。</w:t>
            </w:r>
          </w:p>
        </w:tc>
      </w:tr>
      <w:tr w14:paraId="5C94115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2E88C7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98</w:t>
            </w:r>
          </w:p>
        </w:tc>
        <w:tc>
          <w:tcPr>
            <w:tcW w:w="660" w:type="dxa"/>
            <w:vMerge w:val="continue"/>
            <w:vAlign w:val="center"/>
          </w:tcPr>
          <w:p w14:paraId="7CF765DA">
            <w:pPr>
              <w:spacing w:line="360" w:lineRule="auto"/>
              <w:rPr>
                <w:rFonts w:hint="eastAsia" w:ascii="宋体" w:hAnsi="宋体" w:eastAsia="宋体" w:cs="宋体"/>
                <w:color w:val="auto"/>
                <w:sz w:val="21"/>
                <w:szCs w:val="21"/>
              </w:rPr>
            </w:pPr>
          </w:p>
        </w:tc>
        <w:tc>
          <w:tcPr>
            <w:tcW w:w="975" w:type="dxa"/>
            <w:vMerge w:val="continue"/>
            <w:vAlign w:val="center"/>
          </w:tcPr>
          <w:p w14:paraId="787C8442">
            <w:pPr>
              <w:spacing w:line="360" w:lineRule="auto"/>
              <w:rPr>
                <w:rFonts w:hint="eastAsia" w:ascii="宋体" w:hAnsi="宋体" w:eastAsia="宋体" w:cs="宋体"/>
                <w:strike w:val="0"/>
                <w:dstrike w:val="0"/>
                <w:color w:val="auto"/>
                <w:sz w:val="21"/>
                <w:szCs w:val="21"/>
                <w:highlight w:val="none"/>
              </w:rPr>
            </w:pPr>
          </w:p>
        </w:tc>
        <w:tc>
          <w:tcPr>
            <w:tcW w:w="1860" w:type="dxa"/>
            <w:vAlign w:val="center"/>
          </w:tcPr>
          <w:p w14:paraId="41C0DA1F">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搜索</w:t>
            </w:r>
          </w:p>
        </w:tc>
        <w:tc>
          <w:tcPr>
            <w:tcW w:w="4632" w:type="dxa"/>
            <w:vAlign w:val="center"/>
          </w:tcPr>
          <w:p w14:paraId="0B223F24">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基于定位与自定义范围，模糊搜索托育园区或托育老师。</w:t>
            </w:r>
          </w:p>
        </w:tc>
      </w:tr>
      <w:tr w14:paraId="148677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F2B18C7">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99</w:t>
            </w:r>
          </w:p>
        </w:tc>
        <w:tc>
          <w:tcPr>
            <w:tcW w:w="660" w:type="dxa"/>
            <w:vMerge w:val="continue"/>
            <w:vAlign w:val="center"/>
          </w:tcPr>
          <w:p w14:paraId="3FE914AD">
            <w:pPr>
              <w:spacing w:line="360" w:lineRule="auto"/>
              <w:rPr>
                <w:rFonts w:hint="eastAsia" w:ascii="宋体" w:hAnsi="宋体" w:eastAsia="宋体" w:cs="宋体"/>
                <w:color w:val="auto"/>
                <w:sz w:val="21"/>
                <w:szCs w:val="21"/>
              </w:rPr>
            </w:pPr>
          </w:p>
        </w:tc>
        <w:tc>
          <w:tcPr>
            <w:tcW w:w="975" w:type="dxa"/>
            <w:vMerge w:val="continue"/>
            <w:vAlign w:val="center"/>
          </w:tcPr>
          <w:p w14:paraId="33992426">
            <w:pPr>
              <w:spacing w:line="360" w:lineRule="auto"/>
              <w:rPr>
                <w:rFonts w:hint="eastAsia" w:ascii="宋体" w:hAnsi="宋体" w:eastAsia="宋体" w:cs="宋体"/>
                <w:strike w:val="0"/>
                <w:dstrike w:val="0"/>
                <w:color w:val="auto"/>
                <w:sz w:val="21"/>
                <w:szCs w:val="21"/>
                <w:highlight w:val="none"/>
              </w:rPr>
            </w:pPr>
          </w:p>
        </w:tc>
        <w:tc>
          <w:tcPr>
            <w:tcW w:w="1860" w:type="dxa"/>
            <w:vAlign w:val="center"/>
          </w:tcPr>
          <w:p w14:paraId="041E9815">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lang w:val="en-US" w:eastAsia="zh-CN"/>
              </w:rPr>
              <w:t>精选</w:t>
            </w:r>
            <w:r>
              <w:rPr>
                <w:rFonts w:hint="eastAsia" w:ascii="宋体" w:hAnsi="宋体" w:eastAsia="宋体" w:cs="宋体"/>
                <w:strike w:val="0"/>
                <w:dstrike w:val="0"/>
                <w:color w:val="auto"/>
                <w:sz w:val="21"/>
                <w:szCs w:val="21"/>
                <w:highlight w:val="none"/>
              </w:rPr>
              <w:t>托育园列表</w:t>
            </w:r>
          </w:p>
        </w:tc>
        <w:tc>
          <w:tcPr>
            <w:tcW w:w="4632" w:type="dxa"/>
            <w:vAlign w:val="center"/>
          </w:tcPr>
          <w:p w14:paraId="70D42260">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展示托育园区列表（含名称、地址、认证标识、浏览量等）。</w:t>
            </w:r>
          </w:p>
        </w:tc>
      </w:tr>
      <w:tr w14:paraId="4C0690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2C51F3A">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100</w:t>
            </w:r>
          </w:p>
        </w:tc>
        <w:tc>
          <w:tcPr>
            <w:tcW w:w="660" w:type="dxa"/>
            <w:vMerge w:val="continue"/>
            <w:vAlign w:val="center"/>
          </w:tcPr>
          <w:p w14:paraId="35D2D094">
            <w:pPr>
              <w:spacing w:line="360" w:lineRule="auto"/>
              <w:rPr>
                <w:rFonts w:hint="eastAsia" w:ascii="宋体" w:hAnsi="宋体" w:eastAsia="宋体" w:cs="宋体"/>
                <w:color w:val="auto"/>
                <w:sz w:val="21"/>
                <w:szCs w:val="21"/>
              </w:rPr>
            </w:pPr>
          </w:p>
        </w:tc>
        <w:tc>
          <w:tcPr>
            <w:tcW w:w="975" w:type="dxa"/>
            <w:vMerge w:val="continue"/>
            <w:vAlign w:val="center"/>
          </w:tcPr>
          <w:p w14:paraId="7E2297CE">
            <w:pPr>
              <w:spacing w:line="360" w:lineRule="auto"/>
              <w:rPr>
                <w:rFonts w:hint="eastAsia" w:ascii="宋体" w:hAnsi="宋体" w:eastAsia="宋体" w:cs="宋体"/>
                <w:strike w:val="0"/>
                <w:dstrike w:val="0"/>
                <w:color w:val="auto"/>
                <w:sz w:val="21"/>
                <w:szCs w:val="21"/>
                <w:highlight w:val="none"/>
              </w:rPr>
            </w:pPr>
          </w:p>
        </w:tc>
        <w:tc>
          <w:tcPr>
            <w:tcW w:w="1860" w:type="dxa"/>
            <w:vAlign w:val="center"/>
          </w:tcPr>
          <w:p w14:paraId="799E7CA3">
            <w:pPr>
              <w:snapToGrid w:val="0"/>
              <w:spacing w:before="0" w:after="0" w:line="360" w:lineRule="auto"/>
              <w:jc w:val="center"/>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lang w:val="en-US" w:eastAsia="zh-CN"/>
              </w:rPr>
              <w:t>精选</w:t>
            </w:r>
            <w:r>
              <w:rPr>
                <w:rFonts w:hint="eastAsia" w:ascii="宋体" w:hAnsi="宋体" w:eastAsia="宋体" w:cs="宋体"/>
                <w:strike w:val="0"/>
                <w:dstrike w:val="0"/>
                <w:color w:val="auto"/>
                <w:sz w:val="21"/>
                <w:szCs w:val="21"/>
                <w:highlight w:val="none"/>
              </w:rPr>
              <w:t>托育老师列表</w:t>
            </w:r>
          </w:p>
        </w:tc>
        <w:tc>
          <w:tcPr>
            <w:tcW w:w="4632" w:type="dxa"/>
            <w:vAlign w:val="center"/>
          </w:tcPr>
          <w:p w14:paraId="687D305F">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展示托育老师列表（含头像、姓名、认证标识、浏览量等）。</w:t>
            </w:r>
          </w:p>
        </w:tc>
      </w:tr>
      <w:tr w14:paraId="05FA81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6D5C7869">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101</w:t>
            </w:r>
          </w:p>
        </w:tc>
        <w:tc>
          <w:tcPr>
            <w:tcW w:w="660" w:type="dxa"/>
            <w:vMerge w:val="continue"/>
            <w:vAlign w:val="center"/>
          </w:tcPr>
          <w:p w14:paraId="57DDA289">
            <w:pPr>
              <w:spacing w:line="360" w:lineRule="auto"/>
              <w:rPr>
                <w:rFonts w:hint="eastAsia" w:ascii="宋体" w:hAnsi="宋体" w:eastAsia="宋体" w:cs="宋体"/>
                <w:color w:val="auto"/>
                <w:sz w:val="21"/>
                <w:szCs w:val="21"/>
              </w:rPr>
            </w:pPr>
          </w:p>
        </w:tc>
        <w:tc>
          <w:tcPr>
            <w:tcW w:w="975" w:type="dxa"/>
            <w:vMerge w:val="continue"/>
            <w:vAlign w:val="center"/>
          </w:tcPr>
          <w:p w14:paraId="3314B005">
            <w:pPr>
              <w:spacing w:line="360" w:lineRule="auto"/>
              <w:rPr>
                <w:rFonts w:hint="eastAsia" w:ascii="宋体" w:hAnsi="宋体" w:eastAsia="宋体" w:cs="宋体"/>
                <w:strike w:val="0"/>
                <w:dstrike w:val="0"/>
                <w:color w:val="auto"/>
                <w:sz w:val="21"/>
                <w:szCs w:val="21"/>
                <w:highlight w:val="none"/>
              </w:rPr>
            </w:pPr>
          </w:p>
        </w:tc>
        <w:tc>
          <w:tcPr>
            <w:tcW w:w="1860" w:type="dxa"/>
            <w:vAlign w:val="center"/>
          </w:tcPr>
          <w:p w14:paraId="3364C6D3">
            <w:pPr>
              <w:snapToGrid w:val="0"/>
              <w:spacing w:before="0" w:after="0" w:line="360" w:lineRule="auto"/>
              <w:jc w:val="center"/>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立即咨询</w:t>
            </w:r>
          </w:p>
        </w:tc>
        <w:tc>
          <w:tcPr>
            <w:tcW w:w="4632" w:type="dxa"/>
            <w:vAlign w:val="center"/>
          </w:tcPr>
          <w:p w14:paraId="23C2E874">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strike w:val="0"/>
                <w:dstrike w:val="0"/>
                <w:color w:val="auto"/>
                <w:sz w:val="21"/>
                <w:szCs w:val="21"/>
                <w:highlight w:val="none"/>
              </w:rPr>
              <w:t>提供与园方的</w:t>
            </w:r>
            <w:r>
              <w:rPr>
                <w:rFonts w:hint="eastAsia" w:ascii="宋体" w:hAnsi="宋体" w:eastAsia="宋体" w:cs="宋体"/>
                <w:strike w:val="0"/>
                <w:dstrike w:val="0"/>
                <w:color w:val="auto"/>
                <w:sz w:val="21"/>
                <w:szCs w:val="21"/>
                <w:highlight w:val="none"/>
                <w:lang w:val="en-US" w:eastAsia="zh-CN"/>
              </w:rPr>
              <w:t>在线表单咨询及电话咨询</w:t>
            </w:r>
            <w:r>
              <w:rPr>
                <w:rFonts w:hint="eastAsia" w:ascii="宋体" w:hAnsi="宋体" w:eastAsia="宋体" w:cs="宋体"/>
                <w:strike w:val="0"/>
                <w:dstrike w:val="0"/>
                <w:color w:val="auto"/>
                <w:sz w:val="21"/>
                <w:szCs w:val="21"/>
                <w:highlight w:val="none"/>
              </w:rPr>
              <w:t>。</w:t>
            </w:r>
          </w:p>
        </w:tc>
      </w:tr>
      <w:tr w14:paraId="530FFB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CC62BEF">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102</w:t>
            </w:r>
          </w:p>
        </w:tc>
        <w:tc>
          <w:tcPr>
            <w:tcW w:w="660" w:type="dxa"/>
            <w:vMerge w:val="continue"/>
            <w:vAlign w:val="center"/>
          </w:tcPr>
          <w:p w14:paraId="34A7C2F1">
            <w:pPr>
              <w:spacing w:line="360" w:lineRule="auto"/>
              <w:rPr>
                <w:rFonts w:hint="eastAsia" w:ascii="宋体" w:hAnsi="宋体" w:eastAsia="宋体" w:cs="宋体"/>
                <w:color w:val="auto"/>
                <w:sz w:val="21"/>
                <w:szCs w:val="21"/>
              </w:rPr>
            </w:pPr>
          </w:p>
        </w:tc>
        <w:tc>
          <w:tcPr>
            <w:tcW w:w="975" w:type="dxa"/>
            <w:vAlign w:val="center"/>
          </w:tcPr>
          <w:p w14:paraId="491F8895">
            <w:pPr>
              <w:snapToGrid w:val="0"/>
              <w:spacing w:before="0"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签到签退</w:t>
            </w:r>
          </w:p>
        </w:tc>
        <w:tc>
          <w:tcPr>
            <w:tcW w:w="1860" w:type="dxa"/>
            <w:vAlign w:val="center"/>
          </w:tcPr>
          <w:p w14:paraId="453A7296">
            <w:pPr>
              <w:snapToGrid w:val="0"/>
              <w:spacing w:before="0" w:after="0" w:line="360" w:lineRule="auto"/>
              <w:jc w:val="center"/>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签到签退</w:t>
            </w:r>
          </w:p>
        </w:tc>
        <w:tc>
          <w:tcPr>
            <w:tcW w:w="4632" w:type="dxa"/>
            <w:vAlign w:val="center"/>
          </w:tcPr>
          <w:p w14:paraId="47B0E32B">
            <w:pPr>
              <w:snapToGrid w:val="0"/>
              <w:spacing w:before="0" w:after="0"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婴幼儿已到园、已离园通知。</w:t>
            </w:r>
          </w:p>
        </w:tc>
      </w:tr>
      <w:tr w14:paraId="69DD09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FE4E2B6">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103</w:t>
            </w:r>
          </w:p>
        </w:tc>
        <w:tc>
          <w:tcPr>
            <w:tcW w:w="660" w:type="dxa"/>
            <w:vMerge w:val="continue"/>
            <w:vAlign w:val="center"/>
          </w:tcPr>
          <w:p w14:paraId="004A3D99">
            <w:pPr>
              <w:spacing w:line="360" w:lineRule="auto"/>
              <w:rPr>
                <w:rFonts w:hint="eastAsia" w:ascii="宋体" w:hAnsi="宋体" w:eastAsia="宋体" w:cs="宋体"/>
                <w:color w:val="auto"/>
                <w:sz w:val="21"/>
                <w:szCs w:val="21"/>
              </w:rPr>
            </w:pPr>
          </w:p>
        </w:tc>
        <w:tc>
          <w:tcPr>
            <w:tcW w:w="975" w:type="dxa"/>
            <w:vAlign w:val="center"/>
          </w:tcPr>
          <w:p w14:paraId="49022F78">
            <w:pPr>
              <w:snapToGrid w:val="0"/>
              <w:spacing w:before="0"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剩余课时</w:t>
            </w:r>
          </w:p>
        </w:tc>
        <w:tc>
          <w:tcPr>
            <w:tcW w:w="1860" w:type="dxa"/>
            <w:vAlign w:val="center"/>
          </w:tcPr>
          <w:p w14:paraId="50CA99FC">
            <w:pPr>
              <w:snapToGrid w:val="0"/>
              <w:spacing w:before="0" w:after="0" w:line="360" w:lineRule="auto"/>
              <w:jc w:val="center"/>
              <w:rPr>
                <w:rFonts w:hint="eastAsia" w:ascii="宋体" w:hAnsi="宋体" w:eastAsia="宋体" w:cs="宋体"/>
                <w:strike w:val="0"/>
                <w:dstrike w:val="0"/>
                <w:color w:val="auto"/>
                <w:sz w:val="21"/>
                <w:szCs w:val="21"/>
                <w:highlight w:val="none"/>
                <w:lang w:val="en-US" w:eastAsia="zh-CN"/>
              </w:rPr>
            </w:pPr>
            <w:r>
              <w:rPr>
                <w:rFonts w:hint="eastAsia" w:ascii="宋体" w:hAnsi="宋体" w:eastAsia="宋体" w:cs="宋体"/>
                <w:strike w:val="0"/>
                <w:dstrike w:val="0"/>
                <w:color w:val="auto"/>
                <w:sz w:val="21"/>
                <w:szCs w:val="21"/>
                <w:highlight w:val="none"/>
                <w:lang w:val="en-US" w:eastAsia="zh-CN"/>
              </w:rPr>
              <w:t>剩余托育课时</w:t>
            </w:r>
          </w:p>
        </w:tc>
        <w:tc>
          <w:tcPr>
            <w:tcW w:w="4632" w:type="dxa"/>
            <w:vAlign w:val="center"/>
          </w:tcPr>
          <w:p w14:paraId="40367A72">
            <w:pPr>
              <w:snapToGrid w:val="0"/>
              <w:spacing w:before="0" w:after="0" w:line="360" w:lineRule="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可查看婴幼儿剩余托育课时。</w:t>
            </w:r>
          </w:p>
        </w:tc>
      </w:tr>
      <w:tr w14:paraId="717341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04F4805">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104</w:t>
            </w:r>
          </w:p>
        </w:tc>
        <w:tc>
          <w:tcPr>
            <w:tcW w:w="660" w:type="dxa"/>
            <w:vMerge w:val="continue"/>
            <w:vAlign w:val="center"/>
          </w:tcPr>
          <w:p w14:paraId="0A99D30B">
            <w:pPr>
              <w:spacing w:line="360" w:lineRule="auto"/>
              <w:rPr>
                <w:rFonts w:hint="eastAsia" w:ascii="宋体" w:hAnsi="宋体" w:eastAsia="宋体" w:cs="宋体"/>
                <w:color w:val="auto"/>
                <w:sz w:val="21"/>
                <w:szCs w:val="21"/>
              </w:rPr>
            </w:pPr>
          </w:p>
        </w:tc>
        <w:tc>
          <w:tcPr>
            <w:tcW w:w="975" w:type="dxa"/>
            <w:vAlign w:val="center"/>
          </w:tcPr>
          <w:p w14:paraId="3CE7CECA">
            <w:pPr>
              <w:snapToGrid w:val="0"/>
              <w:spacing w:before="0" w:after="0" w:line="36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消息</w:t>
            </w:r>
          </w:p>
        </w:tc>
        <w:tc>
          <w:tcPr>
            <w:tcW w:w="1860" w:type="dxa"/>
            <w:vAlign w:val="center"/>
          </w:tcPr>
          <w:p w14:paraId="5F98995B">
            <w:pPr>
              <w:snapToGrid w:val="0"/>
              <w:spacing w:before="0" w:after="0" w:line="360" w:lineRule="auto"/>
              <w:jc w:val="center"/>
              <w:rPr>
                <w:rFonts w:hint="eastAsia" w:ascii="宋体" w:hAnsi="宋体" w:eastAsia="宋体" w:cs="宋体"/>
                <w:strike w:val="0"/>
                <w:dstrike w:val="0"/>
                <w:color w:val="auto"/>
                <w:sz w:val="21"/>
                <w:szCs w:val="21"/>
                <w:highlight w:val="none"/>
                <w:lang w:eastAsia="zh-CN"/>
              </w:rPr>
            </w:pPr>
            <w:r>
              <w:rPr>
                <w:rFonts w:hint="eastAsia" w:ascii="宋体" w:hAnsi="宋体" w:eastAsia="宋体" w:cs="宋体"/>
                <w:strike w:val="0"/>
                <w:dstrike w:val="0"/>
                <w:color w:val="auto"/>
                <w:sz w:val="21"/>
                <w:szCs w:val="21"/>
                <w:highlight w:val="none"/>
                <w:lang w:val="en-US" w:eastAsia="zh-CN"/>
              </w:rPr>
              <w:t>通知</w:t>
            </w:r>
          </w:p>
        </w:tc>
        <w:tc>
          <w:tcPr>
            <w:tcW w:w="4632" w:type="dxa"/>
            <w:vAlign w:val="center"/>
          </w:tcPr>
          <w:p w14:paraId="51743DCB">
            <w:pPr>
              <w:snapToGrid w:val="0"/>
              <w:spacing w:before="0" w:after="0" w:line="360" w:lineRule="auto"/>
              <w:rPr>
                <w:rFonts w:hint="eastAsia" w:ascii="宋体" w:hAnsi="宋体" w:eastAsia="宋体" w:cs="宋体"/>
                <w:strike w:val="0"/>
                <w:dstrike w:val="0"/>
                <w:color w:val="auto"/>
                <w:sz w:val="21"/>
                <w:szCs w:val="21"/>
                <w:highlight w:val="none"/>
              </w:rPr>
            </w:pPr>
            <w:r>
              <w:rPr>
                <w:rFonts w:hint="eastAsia" w:ascii="宋体" w:hAnsi="宋体" w:eastAsia="宋体" w:cs="宋体"/>
                <w:color w:val="auto"/>
                <w:sz w:val="21"/>
                <w:szCs w:val="21"/>
                <w:highlight w:val="none"/>
                <w:lang w:val="en-US" w:eastAsia="zh-CN"/>
              </w:rPr>
              <w:t>接收及查看园区班级通知</w:t>
            </w:r>
            <w:r>
              <w:rPr>
                <w:rFonts w:hint="eastAsia" w:ascii="宋体" w:hAnsi="宋体" w:eastAsia="宋体" w:cs="宋体"/>
                <w:color w:val="auto"/>
                <w:sz w:val="21"/>
                <w:szCs w:val="21"/>
                <w:highlight w:val="none"/>
              </w:rPr>
              <w:t>。</w:t>
            </w:r>
          </w:p>
        </w:tc>
      </w:tr>
      <w:tr w14:paraId="61E4CF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1EDC7699">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105</w:t>
            </w:r>
          </w:p>
        </w:tc>
        <w:tc>
          <w:tcPr>
            <w:tcW w:w="660" w:type="dxa"/>
            <w:vMerge w:val="continue"/>
            <w:vAlign w:val="center"/>
          </w:tcPr>
          <w:p w14:paraId="00C08247">
            <w:pPr>
              <w:spacing w:line="360" w:lineRule="auto"/>
              <w:rPr>
                <w:rFonts w:hint="eastAsia" w:ascii="宋体" w:hAnsi="宋体" w:eastAsia="宋体" w:cs="宋体"/>
                <w:color w:val="auto"/>
                <w:sz w:val="21"/>
                <w:szCs w:val="21"/>
              </w:rPr>
            </w:pPr>
          </w:p>
        </w:tc>
        <w:tc>
          <w:tcPr>
            <w:tcW w:w="975" w:type="dxa"/>
            <w:vMerge w:val="restart"/>
            <w:vAlign w:val="center"/>
          </w:tcPr>
          <w:p w14:paraId="484947F0">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我的资料管理</w:t>
            </w:r>
          </w:p>
        </w:tc>
        <w:tc>
          <w:tcPr>
            <w:tcW w:w="1860" w:type="dxa"/>
            <w:vAlign w:val="center"/>
          </w:tcPr>
          <w:p w14:paraId="407C8E58">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rPr>
              <w:t>个人资料</w:t>
            </w:r>
          </w:p>
        </w:tc>
        <w:tc>
          <w:tcPr>
            <w:tcW w:w="4632" w:type="dxa"/>
            <w:vAlign w:val="center"/>
          </w:tcPr>
          <w:p w14:paraId="42B43F0E">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管理家长头像、姓名、联系方式等基本信息。</w:t>
            </w:r>
          </w:p>
        </w:tc>
      </w:tr>
      <w:tr w14:paraId="5C68A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30A5C83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106</w:t>
            </w:r>
          </w:p>
        </w:tc>
        <w:tc>
          <w:tcPr>
            <w:tcW w:w="660" w:type="dxa"/>
            <w:vMerge w:val="continue"/>
            <w:vAlign w:val="center"/>
          </w:tcPr>
          <w:p w14:paraId="57E03F6F">
            <w:pPr>
              <w:spacing w:line="360" w:lineRule="auto"/>
              <w:rPr>
                <w:rFonts w:hint="eastAsia" w:ascii="宋体" w:hAnsi="宋体" w:eastAsia="宋体" w:cs="宋体"/>
                <w:color w:val="auto"/>
                <w:sz w:val="21"/>
                <w:szCs w:val="21"/>
              </w:rPr>
            </w:pPr>
          </w:p>
        </w:tc>
        <w:tc>
          <w:tcPr>
            <w:tcW w:w="975" w:type="dxa"/>
            <w:vMerge w:val="continue"/>
            <w:vAlign w:val="center"/>
          </w:tcPr>
          <w:p w14:paraId="5B9A8677">
            <w:pPr>
              <w:spacing w:line="360" w:lineRule="auto"/>
              <w:rPr>
                <w:rFonts w:hint="eastAsia" w:ascii="宋体" w:hAnsi="宋体" w:eastAsia="宋体" w:cs="宋体"/>
                <w:color w:val="auto"/>
                <w:sz w:val="21"/>
                <w:szCs w:val="21"/>
              </w:rPr>
            </w:pPr>
          </w:p>
        </w:tc>
        <w:tc>
          <w:tcPr>
            <w:tcW w:w="1860" w:type="dxa"/>
            <w:vAlign w:val="center"/>
          </w:tcPr>
          <w:p w14:paraId="6F94189C">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我的宝宝</w:t>
            </w:r>
          </w:p>
        </w:tc>
        <w:tc>
          <w:tcPr>
            <w:tcW w:w="4632" w:type="dxa"/>
            <w:vAlign w:val="center"/>
          </w:tcPr>
          <w:p w14:paraId="58EADB88">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管理婴幼儿头像、姓名、性别、过敏史等基本信息。</w:t>
            </w:r>
          </w:p>
        </w:tc>
      </w:tr>
      <w:tr w14:paraId="16DFF2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4F3AAC29">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107</w:t>
            </w:r>
          </w:p>
        </w:tc>
        <w:tc>
          <w:tcPr>
            <w:tcW w:w="660" w:type="dxa"/>
            <w:vMerge w:val="continue"/>
            <w:vAlign w:val="center"/>
          </w:tcPr>
          <w:p w14:paraId="53A65EA4">
            <w:pPr>
              <w:spacing w:line="360" w:lineRule="auto"/>
              <w:rPr>
                <w:rFonts w:hint="eastAsia" w:ascii="宋体" w:hAnsi="宋体" w:eastAsia="宋体" w:cs="宋体"/>
                <w:color w:val="auto"/>
                <w:sz w:val="21"/>
                <w:szCs w:val="21"/>
              </w:rPr>
            </w:pPr>
          </w:p>
        </w:tc>
        <w:tc>
          <w:tcPr>
            <w:tcW w:w="975" w:type="dxa"/>
            <w:vMerge w:val="continue"/>
            <w:vAlign w:val="center"/>
          </w:tcPr>
          <w:p w14:paraId="77212C40">
            <w:pPr>
              <w:spacing w:line="360" w:lineRule="auto"/>
              <w:rPr>
                <w:rFonts w:hint="eastAsia" w:ascii="宋体" w:hAnsi="宋体" w:eastAsia="宋体" w:cs="宋体"/>
                <w:color w:val="auto"/>
                <w:sz w:val="21"/>
                <w:szCs w:val="21"/>
              </w:rPr>
            </w:pPr>
          </w:p>
        </w:tc>
        <w:tc>
          <w:tcPr>
            <w:tcW w:w="1860" w:type="dxa"/>
            <w:vAlign w:val="center"/>
          </w:tcPr>
          <w:p w14:paraId="13B59557">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托育服务</w:t>
            </w:r>
          </w:p>
        </w:tc>
        <w:tc>
          <w:tcPr>
            <w:tcW w:w="4632" w:type="dxa"/>
            <w:vAlign w:val="center"/>
          </w:tcPr>
          <w:p w14:paraId="32E1AA7B">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管理与托育园的合同，并查看剩余课时。</w:t>
            </w:r>
          </w:p>
        </w:tc>
      </w:tr>
      <w:tr w14:paraId="4A9CD1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530D9D00">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108</w:t>
            </w:r>
          </w:p>
        </w:tc>
        <w:tc>
          <w:tcPr>
            <w:tcW w:w="660" w:type="dxa"/>
            <w:vMerge w:val="continue"/>
            <w:vAlign w:val="center"/>
          </w:tcPr>
          <w:p w14:paraId="235A1D48">
            <w:pPr>
              <w:spacing w:line="360" w:lineRule="auto"/>
              <w:rPr>
                <w:rFonts w:hint="eastAsia" w:ascii="宋体" w:hAnsi="宋体" w:eastAsia="宋体" w:cs="宋体"/>
                <w:color w:val="auto"/>
                <w:sz w:val="21"/>
                <w:szCs w:val="21"/>
              </w:rPr>
            </w:pPr>
          </w:p>
        </w:tc>
        <w:tc>
          <w:tcPr>
            <w:tcW w:w="975" w:type="dxa"/>
            <w:vMerge w:val="continue"/>
            <w:vAlign w:val="center"/>
          </w:tcPr>
          <w:p w14:paraId="12CA3E87">
            <w:pPr>
              <w:spacing w:line="360" w:lineRule="auto"/>
              <w:rPr>
                <w:rFonts w:hint="eastAsia" w:ascii="宋体" w:hAnsi="宋体" w:eastAsia="宋体" w:cs="宋体"/>
                <w:color w:val="auto"/>
                <w:sz w:val="21"/>
                <w:szCs w:val="21"/>
              </w:rPr>
            </w:pPr>
          </w:p>
        </w:tc>
        <w:tc>
          <w:tcPr>
            <w:tcW w:w="1860" w:type="dxa"/>
            <w:vAlign w:val="center"/>
          </w:tcPr>
          <w:p w14:paraId="728DE114">
            <w:pPr>
              <w:snapToGrid w:val="0"/>
              <w:spacing w:before="0" w:after="0" w:line="360" w:lineRule="auto"/>
              <w:jc w:val="center"/>
              <w:rPr>
                <w:rFonts w:hint="eastAsia" w:ascii="宋体" w:hAnsi="宋体" w:eastAsia="宋体" w:cs="宋体"/>
                <w:color w:val="auto"/>
                <w:sz w:val="21"/>
                <w:szCs w:val="21"/>
              </w:rPr>
            </w:pPr>
            <w:r>
              <w:rPr>
                <w:rFonts w:hint="eastAsia" w:ascii="宋体" w:hAnsi="宋体" w:eastAsia="宋体" w:cs="宋体"/>
                <w:color w:val="auto"/>
                <w:sz w:val="21"/>
                <w:szCs w:val="21"/>
                <w:lang w:val="en-US" w:eastAsia="zh-CN"/>
              </w:rPr>
              <w:t>家庭成员</w:t>
            </w:r>
            <w:r>
              <w:rPr>
                <w:rFonts w:hint="eastAsia" w:ascii="宋体" w:hAnsi="宋体" w:eastAsia="宋体" w:cs="宋体"/>
                <w:color w:val="auto"/>
                <w:sz w:val="21"/>
                <w:szCs w:val="21"/>
              </w:rPr>
              <w:t>管理</w:t>
            </w:r>
          </w:p>
        </w:tc>
        <w:tc>
          <w:tcPr>
            <w:tcW w:w="4632" w:type="dxa"/>
            <w:vAlign w:val="center"/>
          </w:tcPr>
          <w:p w14:paraId="338763B2">
            <w:pPr>
              <w:snapToGrid w:val="0"/>
              <w:spacing w:before="0" w:after="0" w:line="360" w:lineRule="auto"/>
              <w:rPr>
                <w:rFonts w:hint="eastAsia" w:ascii="宋体" w:hAnsi="宋体" w:eastAsia="宋体" w:cs="宋体"/>
                <w:color w:val="auto"/>
                <w:sz w:val="21"/>
                <w:szCs w:val="21"/>
              </w:rPr>
            </w:pPr>
            <w:r>
              <w:rPr>
                <w:rFonts w:hint="eastAsia" w:ascii="宋体" w:hAnsi="宋体" w:eastAsia="宋体" w:cs="宋体"/>
                <w:color w:val="auto"/>
                <w:sz w:val="21"/>
                <w:szCs w:val="21"/>
              </w:rPr>
              <w:t>管理绑定的家庭成员账号。</w:t>
            </w:r>
          </w:p>
        </w:tc>
      </w:tr>
      <w:tr w14:paraId="702A5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jc w:val="center"/>
        </w:trPr>
        <w:tc>
          <w:tcPr>
            <w:tcW w:w="735" w:type="dxa"/>
            <w:vAlign w:val="center"/>
          </w:tcPr>
          <w:p w14:paraId="719DBDA4">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109</w:t>
            </w:r>
          </w:p>
        </w:tc>
        <w:tc>
          <w:tcPr>
            <w:tcW w:w="660" w:type="dxa"/>
            <w:vMerge w:val="continue"/>
            <w:vAlign w:val="center"/>
          </w:tcPr>
          <w:p w14:paraId="64F12055">
            <w:pPr>
              <w:spacing w:line="360" w:lineRule="auto"/>
              <w:rPr>
                <w:rFonts w:hint="eastAsia" w:ascii="宋体" w:hAnsi="宋体" w:eastAsia="宋体" w:cs="宋体"/>
                <w:color w:val="auto"/>
                <w:sz w:val="21"/>
                <w:szCs w:val="21"/>
              </w:rPr>
            </w:pPr>
          </w:p>
        </w:tc>
        <w:tc>
          <w:tcPr>
            <w:tcW w:w="975" w:type="dxa"/>
            <w:vMerge w:val="continue"/>
            <w:vAlign w:val="center"/>
          </w:tcPr>
          <w:p w14:paraId="68F08E13">
            <w:pPr>
              <w:spacing w:line="360" w:lineRule="auto"/>
              <w:rPr>
                <w:rFonts w:hint="eastAsia" w:ascii="宋体" w:hAnsi="宋体" w:eastAsia="宋体" w:cs="宋体"/>
                <w:color w:val="auto"/>
                <w:sz w:val="21"/>
                <w:szCs w:val="21"/>
              </w:rPr>
            </w:pPr>
          </w:p>
        </w:tc>
        <w:tc>
          <w:tcPr>
            <w:tcW w:w="1860" w:type="dxa"/>
            <w:vAlign w:val="center"/>
          </w:tcPr>
          <w:p w14:paraId="52C10C4E">
            <w:pPr>
              <w:snapToGrid w:val="0"/>
              <w:spacing w:before="0" w:after="0" w:line="360" w:lineRule="auto"/>
              <w:jc w:val="center"/>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人脸照片管理</w:t>
            </w:r>
          </w:p>
        </w:tc>
        <w:tc>
          <w:tcPr>
            <w:tcW w:w="4632" w:type="dxa"/>
            <w:vAlign w:val="center"/>
          </w:tcPr>
          <w:p w14:paraId="13A05B3F">
            <w:pPr>
              <w:snapToGrid w:val="0"/>
              <w:spacing w:before="0" w:after="0" w:line="360" w:lineRule="auto"/>
              <w:rPr>
                <w:rFonts w:hint="eastAsia" w:ascii="宋体" w:hAnsi="宋体" w:eastAsia="宋体" w:cs="宋体"/>
                <w:color w:val="auto"/>
                <w:sz w:val="21"/>
                <w:szCs w:val="21"/>
                <w:lang w:val="en-US" w:eastAsia="zh-CN"/>
              </w:rPr>
            </w:pPr>
            <w:r>
              <w:rPr>
                <w:rFonts w:hint="eastAsia" w:ascii="宋体" w:hAnsi="宋体" w:eastAsia="宋体" w:cs="宋体"/>
                <w:color w:val="auto"/>
                <w:sz w:val="21"/>
                <w:szCs w:val="21"/>
                <w:lang w:val="en-US" w:eastAsia="zh-CN"/>
              </w:rPr>
              <w:t>录入婴幼儿的人脸照片、家长照片。</w:t>
            </w:r>
          </w:p>
        </w:tc>
      </w:tr>
    </w:tbl>
    <w:p w14:paraId="3FD00D20">
      <w:pPr>
        <w:numPr>
          <w:ilvl w:val="0"/>
          <w:numId w:val="0"/>
        </w:numPr>
        <w:spacing w:line="360" w:lineRule="auto"/>
        <w:jc w:val="left"/>
        <w:rPr>
          <w:rFonts w:hint="eastAsia" w:ascii="宋体" w:hAnsi="宋体" w:eastAsia="宋体" w:cs="宋体"/>
          <w:b/>
          <w:color w:val="auto"/>
          <w:sz w:val="21"/>
          <w:szCs w:val="21"/>
        </w:rPr>
      </w:pPr>
    </w:p>
    <w:p w14:paraId="793EEFDA">
      <w:pPr>
        <w:numPr>
          <w:ilvl w:val="0"/>
          <w:numId w:val="13"/>
        </w:numPr>
        <w:spacing w:line="360" w:lineRule="auto"/>
        <w:jc w:val="left"/>
        <w:rPr>
          <w:rFonts w:hint="eastAsia" w:ascii="宋体" w:hAnsi="宋体" w:eastAsia="宋体" w:cs="宋体"/>
          <w:b/>
          <w:color w:val="auto"/>
          <w:sz w:val="21"/>
          <w:szCs w:val="21"/>
        </w:rPr>
      </w:pPr>
      <w:r>
        <w:rPr>
          <w:rFonts w:hint="eastAsia" w:ascii="宋体" w:hAnsi="宋体" w:eastAsia="宋体" w:cs="宋体"/>
          <w:b/>
          <w:color w:val="auto"/>
          <w:sz w:val="21"/>
          <w:szCs w:val="21"/>
        </w:rPr>
        <w:t>硬件设备需求清单</w:t>
      </w:r>
    </w:p>
    <w:tbl>
      <w:tblPr>
        <w:tblStyle w:val="38"/>
        <w:tblW w:w="885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84"/>
        <w:gridCol w:w="1858"/>
        <w:gridCol w:w="3164"/>
        <w:gridCol w:w="822"/>
        <w:gridCol w:w="971"/>
        <w:gridCol w:w="1157"/>
      </w:tblGrid>
      <w:tr w14:paraId="358048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BED382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序号</w:t>
            </w:r>
          </w:p>
        </w:tc>
        <w:tc>
          <w:tcPr>
            <w:tcW w:w="1858" w:type="dxa"/>
          </w:tcPr>
          <w:p w14:paraId="4E9D031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材料名称</w:t>
            </w:r>
          </w:p>
        </w:tc>
        <w:tc>
          <w:tcPr>
            <w:tcW w:w="3164" w:type="dxa"/>
          </w:tcPr>
          <w:p w14:paraId="50F8B13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项目特征描述</w:t>
            </w:r>
          </w:p>
        </w:tc>
        <w:tc>
          <w:tcPr>
            <w:tcW w:w="822" w:type="dxa"/>
          </w:tcPr>
          <w:p w14:paraId="7B62642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单位</w:t>
            </w:r>
          </w:p>
        </w:tc>
        <w:tc>
          <w:tcPr>
            <w:tcW w:w="971" w:type="dxa"/>
          </w:tcPr>
          <w:p w14:paraId="61B6871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工程量</w:t>
            </w:r>
          </w:p>
        </w:tc>
        <w:tc>
          <w:tcPr>
            <w:tcW w:w="1157" w:type="dxa"/>
          </w:tcPr>
          <w:p w14:paraId="666A320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备注</w:t>
            </w:r>
          </w:p>
        </w:tc>
      </w:tr>
      <w:tr w14:paraId="39A47B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26" w:hRule="atLeast"/>
        </w:trPr>
        <w:tc>
          <w:tcPr>
            <w:tcW w:w="884" w:type="dxa"/>
          </w:tcPr>
          <w:p w14:paraId="044D28B3">
            <w:pPr>
              <w:spacing w:after="0" w:line="36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w:t>
            </w:r>
          </w:p>
        </w:tc>
        <w:tc>
          <w:tcPr>
            <w:tcW w:w="1858" w:type="dxa"/>
          </w:tcPr>
          <w:p w14:paraId="0A34CFF7">
            <w:pPr>
              <w:snapToGrid w:val="0"/>
              <w:spacing w:before="0" w:after="0" w:line="360" w:lineRule="auto"/>
              <w:ind w:left="113" w:right="113"/>
              <w:jc w:val="both"/>
              <w:rPr>
                <w:rFonts w:hint="eastAsia" w:ascii="宋体" w:hAnsi="宋体" w:eastAsia="宋体" w:cs="宋体"/>
                <w:b w:val="0"/>
                <w:color w:val="auto"/>
                <w:sz w:val="21"/>
                <w:szCs w:val="21"/>
                <w:highlight w:val="none"/>
              </w:rPr>
            </w:pPr>
            <w:r>
              <w:rPr>
                <w:rFonts w:hint="eastAsia" w:ascii="宋体" w:hAnsi="宋体" w:eastAsia="宋体" w:cs="宋体"/>
                <w:i w:val="0"/>
                <w:strike w:val="0"/>
                <w:color w:val="auto"/>
                <w:spacing w:val="0"/>
                <w:sz w:val="21"/>
                <w:szCs w:val="21"/>
                <w:highlight w:val="none"/>
                <w:u w:val="none"/>
                <w:vertAlign w:val="baseline"/>
                <w:lang w:val="en-US" w:eastAsia="zh-CN"/>
              </w:rPr>
              <w:t>智慧</w:t>
            </w:r>
            <w:r>
              <w:rPr>
                <w:rFonts w:hint="eastAsia" w:ascii="宋体" w:hAnsi="宋体" w:eastAsia="宋体" w:cs="宋体"/>
                <w:i w:val="0"/>
                <w:strike w:val="0"/>
                <w:color w:val="auto"/>
                <w:spacing w:val="0"/>
                <w:sz w:val="21"/>
                <w:szCs w:val="21"/>
                <w:highlight w:val="none"/>
                <w:u w:val="none"/>
                <w:vertAlign w:val="baseline"/>
              </w:rPr>
              <w:t>大屏</w:t>
            </w:r>
          </w:p>
        </w:tc>
        <w:tc>
          <w:tcPr>
            <w:tcW w:w="3164" w:type="dxa"/>
          </w:tcPr>
          <w:p w14:paraId="4D724576">
            <w:pPr>
              <w:snapToGrid w:val="0"/>
              <w:spacing w:before="0" w:after="0" w:line="360" w:lineRule="auto"/>
              <w:ind w:left="0" w:right="0"/>
              <w:jc w:val="left"/>
              <w:rPr>
                <w:rFonts w:hint="eastAsia" w:ascii="宋体" w:hAnsi="宋体" w:eastAsia="宋体" w:cs="宋体"/>
                <w:color w:val="auto"/>
                <w:sz w:val="21"/>
                <w:szCs w:val="21"/>
                <w:highlight w:val="none"/>
              </w:rPr>
            </w:pPr>
            <w:r>
              <w:rPr>
                <w:rFonts w:hint="eastAsia" w:ascii="宋体" w:hAnsi="宋体" w:eastAsia="宋体" w:cs="宋体"/>
                <w:i w:val="0"/>
                <w:strike w:val="0"/>
                <w:color w:val="auto"/>
                <w:spacing w:val="0"/>
                <w:sz w:val="21"/>
                <w:szCs w:val="21"/>
                <w:highlight w:val="none"/>
                <w:u w:val="none"/>
                <w:vertAlign w:val="baseline"/>
              </w:rPr>
              <w:t xml:space="preserve">屏幕尺寸≥86英寸 </w:t>
            </w:r>
            <w:r>
              <w:rPr>
                <w:rFonts w:hint="eastAsia" w:ascii="宋体" w:hAnsi="宋体" w:eastAsia="宋体" w:cs="宋体"/>
                <w:i w:val="0"/>
                <w:strike w:val="0"/>
                <w:color w:val="auto"/>
                <w:spacing w:val="0"/>
                <w:sz w:val="21"/>
                <w:szCs w:val="21"/>
                <w:highlight w:val="none"/>
                <w:u w:val="none"/>
                <w:vertAlign w:val="baseline"/>
                <w:lang w:eastAsia="zh-CN"/>
              </w:rPr>
              <w:t>，</w:t>
            </w:r>
            <w:r>
              <w:rPr>
                <w:rFonts w:hint="eastAsia" w:ascii="宋体" w:hAnsi="宋体" w:eastAsia="宋体" w:cs="宋体"/>
                <w:i w:val="0"/>
                <w:strike w:val="0"/>
                <w:color w:val="auto"/>
                <w:spacing w:val="0"/>
                <w:sz w:val="21"/>
                <w:szCs w:val="21"/>
                <w:highlight w:val="none"/>
                <w:u w:val="none"/>
                <w:vertAlign w:val="baseline"/>
              </w:rPr>
              <w:t>分辨率 ≥ 1920*1080P；</w:t>
            </w:r>
          </w:p>
          <w:p w14:paraId="007DABC4">
            <w:pPr>
              <w:snapToGrid w:val="0"/>
              <w:spacing w:before="0" w:after="0" w:line="360" w:lineRule="auto"/>
              <w:ind w:left="0" w:right="0"/>
              <w:jc w:val="left"/>
              <w:rPr>
                <w:rFonts w:hint="eastAsia" w:ascii="宋体" w:hAnsi="宋体" w:eastAsia="宋体" w:cs="宋体"/>
                <w:i w:val="0"/>
                <w:strike w:val="0"/>
                <w:color w:val="auto"/>
                <w:spacing w:val="0"/>
                <w:sz w:val="21"/>
                <w:szCs w:val="21"/>
                <w:highlight w:val="none"/>
                <w:u w:val="none"/>
                <w:vertAlign w:val="baseline"/>
              </w:rPr>
            </w:pPr>
            <w:r>
              <w:rPr>
                <w:rFonts w:hint="eastAsia" w:ascii="宋体" w:hAnsi="宋体" w:eastAsia="宋体" w:cs="宋体"/>
                <w:i w:val="0"/>
                <w:strike w:val="0"/>
                <w:color w:val="auto"/>
                <w:spacing w:val="0"/>
                <w:sz w:val="21"/>
                <w:szCs w:val="21"/>
                <w:highlight w:val="none"/>
                <w:u w:val="none"/>
                <w:vertAlign w:val="baseline"/>
                <w:lang w:val="en-US" w:eastAsia="zh-CN"/>
              </w:rPr>
              <w:t>内存</w:t>
            </w:r>
            <w:r>
              <w:rPr>
                <w:rFonts w:hint="eastAsia" w:ascii="宋体" w:hAnsi="宋体" w:eastAsia="宋体" w:cs="宋体"/>
                <w:i w:val="0"/>
                <w:strike w:val="0"/>
                <w:color w:val="auto"/>
                <w:spacing w:val="0"/>
                <w:sz w:val="21"/>
                <w:szCs w:val="21"/>
                <w:highlight w:val="none"/>
                <w:u w:val="none"/>
                <w:vertAlign w:val="baseline"/>
              </w:rPr>
              <w:t>≥</w:t>
            </w:r>
            <w:r>
              <w:rPr>
                <w:rFonts w:hint="eastAsia" w:ascii="宋体" w:hAnsi="宋体" w:eastAsia="宋体" w:cs="宋体"/>
                <w:i w:val="0"/>
                <w:strike w:val="0"/>
                <w:color w:val="auto"/>
                <w:spacing w:val="0"/>
                <w:sz w:val="21"/>
                <w:szCs w:val="21"/>
                <w:highlight w:val="none"/>
                <w:u w:val="none"/>
                <w:vertAlign w:val="baseline"/>
                <w:lang w:val="en-US" w:eastAsia="zh-CN"/>
              </w:rPr>
              <w:t>8</w:t>
            </w:r>
            <w:r>
              <w:rPr>
                <w:rFonts w:hint="eastAsia" w:ascii="宋体" w:hAnsi="宋体" w:eastAsia="宋体" w:cs="宋体"/>
                <w:i w:val="0"/>
                <w:strike w:val="0"/>
                <w:color w:val="auto"/>
                <w:spacing w:val="0"/>
                <w:sz w:val="21"/>
                <w:szCs w:val="21"/>
                <w:highlight w:val="none"/>
                <w:u w:val="none"/>
                <w:vertAlign w:val="baseline"/>
              </w:rPr>
              <w:t>G</w:t>
            </w:r>
            <w:r>
              <w:rPr>
                <w:rFonts w:hint="eastAsia" w:ascii="宋体" w:hAnsi="宋体" w:eastAsia="宋体" w:cs="宋体"/>
                <w:i w:val="0"/>
                <w:strike w:val="0"/>
                <w:color w:val="auto"/>
                <w:spacing w:val="0"/>
                <w:sz w:val="21"/>
                <w:szCs w:val="21"/>
                <w:highlight w:val="none"/>
                <w:u w:val="none"/>
                <w:vertAlign w:val="baseline"/>
                <w:lang w:val="en-US" w:eastAsia="zh-CN"/>
              </w:rPr>
              <w:t>B</w:t>
            </w:r>
            <w:r>
              <w:rPr>
                <w:rFonts w:hint="eastAsia" w:ascii="宋体" w:hAnsi="宋体" w:eastAsia="宋体" w:cs="宋体"/>
                <w:i w:val="0"/>
                <w:strike w:val="0"/>
                <w:color w:val="auto"/>
                <w:spacing w:val="0"/>
                <w:sz w:val="21"/>
                <w:szCs w:val="21"/>
                <w:highlight w:val="none"/>
                <w:u w:val="none"/>
                <w:vertAlign w:val="baseline"/>
              </w:rPr>
              <w:t>，</w:t>
            </w:r>
            <w:r>
              <w:rPr>
                <w:rFonts w:hint="eastAsia" w:ascii="宋体" w:hAnsi="宋体" w:eastAsia="宋体" w:cs="宋体"/>
                <w:i w:val="0"/>
                <w:strike w:val="0"/>
                <w:color w:val="auto"/>
                <w:spacing w:val="0"/>
                <w:sz w:val="21"/>
                <w:szCs w:val="21"/>
                <w:highlight w:val="none"/>
                <w:u w:val="none"/>
                <w:vertAlign w:val="baseline"/>
                <w:lang w:val="en-US" w:eastAsia="zh-CN"/>
              </w:rPr>
              <w:t>存储</w:t>
            </w:r>
            <w:r>
              <w:rPr>
                <w:rFonts w:hint="eastAsia" w:ascii="宋体" w:hAnsi="宋体" w:eastAsia="宋体" w:cs="宋体"/>
                <w:i w:val="0"/>
                <w:strike w:val="0"/>
                <w:color w:val="auto"/>
                <w:spacing w:val="0"/>
                <w:sz w:val="21"/>
                <w:szCs w:val="21"/>
                <w:highlight w:val="none"/>
                <w:u w:val="none"/>
                <w:vertAlign w:val="baseline"/>
              </w:rPr>
              <w:t xml:space="preserve">≥ </w:t>
            </w:r>
            <w:r>
              <w:rPr>
                <w:rFonts w:hint="eastAsia" w:ascii="宋体" w:hAnsi="宋体" w:eastAsia="宋体" w:cs="宋体"/>
                <w:i w:val="0"/>
                <w:strike w:val="0"/>
                <w:color w:val="auto"/>
                <w:spacing w:val="0"/>
                <w:sz w:val="21"/>
                <w:szCs w:val="21"/>
                <w:highlight w:val="none"/>
                <w:u w:val="none"/>
                <w:vertAlign w:val="baseline"/>
                <w:lang w:val="en-US" w:eastAsia="zh-CN"/>
              </w:rPr>
              <w:t>256</w:t>
            </w:r>
            <w:r>
              <w:rPr>
                <w:rFonts w:hint="eastAsia" w:ascii="宋体" w:hAnsi="宋体" w:eastAsia="宋体" w:cs="宋体"/>
                <w:i w:val="0"/>
                <w:strike w:val="0"/>
                <w:color w:val="auto"/>
                <w:spacing w:val="0"/>
                <w:sz w:val="21"/>
                <w:szCs w:val="21"/>
                <w:highlight w:val="none"/>
                <w:u w:val="none"/>
                <w:vertAlign w:val="baseline"/>
              </w:rPr>
              <w:t>G</w:t>
            </w:r>
            <w:r>
              <w:rPr>
                <w:rFonts w:hint="eastAsia" w:ascii="宋体" w:hAnsi="宋体" w:eastAsia="宋体" w:cs="宋体"/>
                <w:i w:val="0"/>
                <w:strike w:val="0"/>
                <w:color w:val="auto"/>
                <w:spacing w:val="0"/>
                <w:sz w:val="21"/>
                <w:szCs w:val="21"/>
                <w:highlight w:val="none"/>
                <w:u w:val="none"/>
                <w:vertAlign w:val="baseline"/>
                <w:lang w:val="en-US" w:eastAsia="zh-CN"/>
              </w:rPr>
              <w:t>B SSD</w:t>
            </w:r>
            <w:r>
              <w:rPr>
                <w:rFonts w:hint="eastAsia" w:ascii="宋体" w:hAnsi="宋体" w:eastAsia="宋体" w:cs="宋体"/>
                <w:i w:val="0"/>
                <w:strike w:val="0"/>
                <w:color w:val="auto"/>
                <w:spacing w:val="0"/>
                <w:sz w:val="21"/>
                <w:szCs w:val="21"/>
                <w:highlight w:val="none"/>
                <w:u w:val="none"/>
                <w:vertAlign w:val="baseline"/>
              </w:rPr>
              <w:t xml:space="preserve"> ，</w:t>
            </w:r>
          </w:p>
          <w:p w14:paraId="7BF878B3">
            <w:pPr>
              <w:snapToGrid w:val="0"/>
              <w:spacing w:before="0" w:after="0" w:line="360" w:lineRule="auto"/>
              <w:ind w:left="0" w:right="0"/>
              <w:jc w:val="left"/>
              <w:rPr>
                <w:rFonts w:hint="eastAsia" w:ascii="宋体" w:hAnsi="宋体" w:eastAsia="宋体" w:cs="宋体"/>
                <w:i w:val="0"/>
                <w:strike w:val="0"/>
                <w:color w:val="auto"/>
                <w:spacing w:val="0"/>
                <w:sz w:val="21"/>
                <w:szCs w:val="21"/>
                <w:highlight w:val="none"/>
                <w:u w:val="none"/>
                <w:vertAlign w:val="baseline"/>
              </w:rPr>
            </w:pPr>
            <w:r>
              <w:rPr>
                <w:rFonts w:hint="eastAsia" w:ascii="宋体" w:hAnsi="宋体" w:eastAsia="宋体" w:cs="宋体"/>
                <w:i w:val="0"/>
                <w:strike w:val="0"/>
                <w:color w:val="auto"/>
                <w:spacing w:val="0"/>
                <w:sz w:val="21"/>
                <w:szCs w:val="21"/>
                <w:highlight w:val="none"/>
                <w:u w:val="none"/>
                <w:vertAlign w:val="baseline"/>
              </w:rPr>
              <w:t>背光类型：E-LED（侧入式）</w:t>
            </w:r>
            <w:r>
              <w:rPr>
                <w:rFonts w:hint="eastAsia" w:ascii="宋体" w:hAnsi="宋体" w:eastAsia="宋体" w:cs="宋体"/>
                <w:i w:val="0"/>
                <w:strike w:val="0"/>
                <w:color w:val="auto"/>
                <w:spacing w:val="0"/>
                <w:sz w:val="21"/>
                <w:szCs w:val="21"/>
                <w:highlight w:val="none"/>
                <w:u w:val="none"/>
                <w:vertAlign w:val="baseline"/>
                <w:lang w:eastAsia="zh-CN"/>
              </w:rPr>
              <w:t>，</w:t>
            </w:r>
            <w:r>
              <w:rPr>
                <w:rFonts w:hint="eastAsia" w:ascii="宋体" w:hAnsi="宋体" w:eastAsia="宋体" w:cs="宋体"/>
                <w:i w:val="0"/>
                <w:strike w:val="0"/>
                <w:color w:val="auto"/>
                <w:spacing w:val="0"/>
                <w:sz w:val="21"/>
                <w:szCs w:val="21"/>
                <w:highlight w:val="none"/>
                <w:u w:val="none"/>
                <w:vertAlign w:val="baseline"/>
              </w:rPr>
              <w:t>主板类型：工控主板</w:t>
            </w:r>
          </w:p>
          <w:p w14:paraId="62BA5540">
            <w:pPr>
              <w:snapToGrid w:val="0"/>
              <w:spacing w:before="0" w:after="0" w:line="360" w:lineRule="auto"/>
              <w:ind w:left="0" w:right="0"/>
              <w:jc w:val="left"/>
              <w:rPr>
                <w:rFonts w:hint="eastAsia" w:ascii="宋体" w:hAnsi="宋体" w:eastAsia="宋体" w:cs="宋体"/>
                <w:i w:val="0"/>
                <w:strike w:val="0"/>
                <w:color w:val="auto"/>
                <w:spacing w:val="0"/>
                <w:sz w:val="21"/>
                <w:szCs w:val="21"/>
                <w:highlight w:val="none"/>
                <w:u w:val="none"/>
                <w:vertAlign w:val="baseline"/>
              </w:rPr>
            </w:pPr>
            <w:r>
              <w:rPr>
                <w:rFonts w:hint="eastAsia" w:ascii="宋体" w:hAnsi="宋体" w:eastAsia="宋体" w:cs="宋体"/>
                <w:i w:val="0"/>
                <w:strike w:val="0"/>
                <w:color w:val="auto"/>
                <w:spacing w:val="0"/>
                <w:sz w:val="21"/>
                <w:szCs w:val="21"/>
                <w:highlight w:val="none"/>
                <w:u w:val="none"/>
                <w:vertAlign w:val="baseline"/>
              </w:rPr>
              <w:t>触摸方式：红外对射，10点触摸</w:t>
            </w:r>
            <w:r>
              <w:rPr>
                <w:rFonts w:hint="eastAsia" w:ascii="宋体" w:hAnsi="宋体" w:eastAsia="宋体" w:cs="宋体"/>
                <w:i w:val="0"/>
                <w:strike w:val="0"/>
                <w:color w:val="auto"/>
                <w:spacing w:val="0"/>
                <w:sz w:val="21"/>
                <w:szCs w:val="21"/>
                <w:highlight w:val="none"/>
                <w:u w:val="none"/>
                <w:vertAlign w:val="baseline"/>
                <w:lang w:eastAsia="zh-CN"/>
              </w:rPr>
              <w:t>，</w:t>
            </w:r>
            <w:r>
              <w:rPr>
                <w:rFonts w:hint="eastAsia" w:ascii="宋体" w:hAnsi="宋体" w:eastAsia="宋体" w:cs="宋体"/>
                <w:i w:val="0"/>
                <w:strike w:val="0"/>
                <w:color w:val="auto"/>
                <w:spacing w:val="0"/>
                <w:sz w:val="21"/>
                <w:szCs w:val="21"/>
                <w:highlight w:val="none"/>
                <w:u w:val="none"/>
                <w:vertAlign w:val="baseline"/>
              </w:rPr>
              <w:t>处理器/CPU：I5双核，2.5GHz</w:t>
            </w:r>
          </w:p>
          <w:p w14:paraId="5D47C7BB">
            <w:pPr>
              <w:spacing w:after="0" w:line="360" w:lineRule="auto"/>
              <w:jc w:val="left"/>
              <w:rPr>
                <w:rFonts w:hint="eastAsia" w:ascii="宋体" w:hAnsi="宋体" w:eastAsia="宋体" w:cs="宋体"/>
                <w:b w:val="0"/>
                <w:color w:val="auto"/>
                <w:sz w:val="21"/>
                <w:szCs w:val="21"/>
                <w:highlight w:val="none"/>
              </w:rPr>
            </w:pPr>
            <w:r>
              <w:rPr>
                <w:rFonts w:hint="eastAsia" w:ascii="宋体" w:hAnsi="宋体" w:eastAsia="宋体" w:cs="宋体"/>
                <w:i w:val="0"/>
                <w:strike w:val="0"/>
                <w:color w:val="auto"/>
                <w:spacing w:val="0"/>
                <w:sz w:val="21"/>
                <w:szCs w:val="21"/>
                <w:highlight w:val="none"/>
                <w:u w:val="none"/>
                <w:vertAlign w:val="baseline"/>
              </w:rPr>
              <w:t>操作系统：</w:t>
            </w:r>
            <w:r>
              <w:rPr>
                <w:rFonts w:hint="eastAsia" w:ascii="宋体" w:hAnsi="宋体" w:eastAsia="宋体" w:cs="宋体"/>
                <w:i w:val="0"/>
                <w:strike w:val="0"/>
                <w:color w:val="auto"/>
                <w:spacing w:val="0"/>
                <w:sz w:val="21"/>
                <w:szCs w:val="21"/>
                <w:highlight w:val="none"/>
                <w:u w:val="none"/>
                <w:vertAlign w:val="baseline"/>
                <w:lang w:val="en-US" w:eastAsia="zh-CN"/>
              </w:rPr>
              <w:t>支持</w:t>
            </w:r>
            <w:r>
              <w:rPr>
                <w:rFonts w:hint="eastAsia" w:ascii="宋体" w:hAnsi="宋体" w:eastAsia="宋体" w:cs="宋体"/>
                <w:i w:val="0"/>
                <w:strike w:val="0"/>
                <w:color w:val="auto"/>
                <w:spacing w:val="0"/>
                <w:sz w:val="21"/>
                <w:szCs w:val="21"/>
                <w:highlight w:val="none"/>
                <w:u w:val="none"/>
                <w:vertAlign w:val="baseline"/>
              </w:rPr>
              <w:t>≥Windows</w:t>
            </w:r>
            <w:r>
              <w:rPr>
                <w:rFonts w:hint="eastAsia" w:ascii="宋体" w:hAnsi="宋体" w:eastAsia="宋体" w:cs="宋体"/>
                <w:i w:val="0"/>
                <w:strike w:val="0"/>
                <w:color w:val="auto"/>
                <w:spacing w:val="0"/>
                <w:sz w:val="21"/>
                <w:szCs w:val="21"/>
                <w:highlight w:val="none"/>
                <w:u w:val="none"/>
                <w:vertAlign w:val="baseline"/>
                <w:lang w:val="en-US" w:eastAsia="zh-CN"/>
              </w:rPr>
              <w:t>10专业版</w:t>
            </w:r>
            <w:r>
              <w:rPr>
                <w:rFonts w:hint="eastAsia" w:ascii="宋体" w:hAnsi="宋体" w:eastAsia="宋体" w:cs="宋体"/>
                <w:i w:val="0"/>
                <w:strike w:val="0"/>
                <w:color w:val="auto"/>
                <w:spacing w:val="0"/>
                <w:sz w:val="21"/>
                <w:szCs w:val="21"/>
                <w:highlight w:val="none"/>
                <w:u w:val="none"/>
                <w:vertAlign w:val="baseline"/>
              </w:rPr>
              <w:t>系统</w:t>
            </w:r>
          </w:p>
        </w:tc>
        <w:tc>
          <w:tcPr>
            <w:tcW w:w="822" w:type="dxa"/>
          </w:tcPr>
          <w:p w14:paraId="50CF2903">
            <w:pPr>
              <w:spacing w:after="0" w:line="36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台</w:t>
            </w:r>
          </w:p>
        </w:tc>
        <w:tc>
          <w:tcPr>
            <w:tcW w:w="971" w:type="dxa"/>
          </w:tcPr>
          <w:p w14:paraId="33B4C88C">
            <w:pPr>
              <w:spacing w:after="0" w:line="360" w:lineRule="auto"/>
              <w:jc w:val="center"/>
              <w:rPr>
                <w:rFonts w:hint="eastAsia" w:ascii="宋体" w:hAnsi="宋体" w:eastAsia="宋体" w:cs="宋体"/>
                <w:b w:val="0"/>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1.00</w:t>
            </w:r>
          </w:p>
        </w:tc>
        <w:tc>
          <w:tcPr>
            <w:tcW w:w="1157" w:type="dxa"/>
          </w:tcPr>
          <w:p w14:paraId="6AC10A81">
            <w:pPr>
              <w:spacing w:after="0" w:line="360" w:lineRule="auto"/>
              <w:jc w:val="center"/>
              <w:rPr>
                <w:rFonts w:hint="eastAsia" w:ascii="宋体" w:hAnsi="宋体" w:eastAsia="宋体" w:cs="宋体"/>
                <w:b w:val="0"/>
                <w:color w:val="auto"/>
                <w:sz w:val="21"/>
                <w:szCs w:val="21"/>
                <w:highlight w:val="none"/>
              </w:rPr>
            </w:pPr>
          </w:p>
        </w:tc>
      </w:tr>
      <w:tr w14:paraId="315468F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6CDB921">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2</w:t>
            </w:r>
          </w:p>
        </w:tc>
        <w:tc>
          <w:tcPr>
            <w:tcW w:w="1858" w:type="dxa"/>
          </w:tcPr>
          <w:p w14:paraId="513E7C07">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监控枪</w:t>
            </w:r>
          </w:p>
        </w:tc>
        <w:tc>
          <w:tcPr>
            <w:tcW w:w="3164" w:type="dxa"/>
          </w:tcPr>
          <w:p w14:paraId="63ED911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400万像素2K全彩POE摄像头，镜头焦距 2.8mm，夜视距离≥30m，支持移动侦测、红外补光功能</w:t>
            </w:r>
          </w:p>
        </w:tc>
        <w:tc>
          <w:tcPr>
            <w:tcW w:w="822" w:type="dxa"/>
          </w:tcPr>
          <w:p w14:paraId="5B1169B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421C46E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20.00</w:t>
            </w:r>
          </w:p>
        </w:tc>
        <w:tc>
          <w:tcPr>
            <w:tcW w:w="1157" w:type="dxa"/>
          </w:tcPr>
          <w:p w14:paraId="3339F02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安防设备采购</w:t>
            </w:r>
          </w:p>
        </w:tc>
      </w:tr>
      <w:tr w14:paraId="18384F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65C5C91">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3</w:t>
            </w:r>
          </w:p>
        </w:tc>
        <w:tc>
          <w:tcPr>
            <w:tcW w:w="1858" w:type="dxa"/>
          </w:tcPr>
          <w:p w14:paraId="7E4EDF67">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供电交换机</w:t>
            </w:r>
          </w:p>
        </w:tc>
        <w:tc>
          <w:tcPr>
            <w:tcW w:w="3164" w:type="dxa"/>
          </w:tcPr>
          <w:p w14:paraId="4C50289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10口（8个供电口+2个上联口），支持IEEE 802.3af/at标准，总供电功率≥65W，传输速率≥1000Mbps</w:t>
            </w:r>
          </w:p>
        </w:tc>
        <w:tc>
          <w:tcPr>
            <w:tcW w:w="822" w:type="dxa"/>
          </w:tcPr>
          <w:p w14:paraId="5E92966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554C4D5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3.00</w:t>
            </w:r>
          </w:p>
        </w:tc>
        <w:tc>
          <w:tcPr>
            <w:tcW w:w="1157" w:type="dxa"/>
          </w:tcPr>
          <w:p w14:paraId="78ADA9C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网络设备采购</w:t>
            </w:r>
          </w:p>
        </w:tc>
      </w:tr>
      <w:tr w14:paraId="7D5083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2C5D8B8">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4</w:t>
            </w:r>
          </w:p>
        </w:tc>
        <w:tc>
          <w:tcPr>
            <w:tcW w:w="1858" w:type="dxa"/>
          </w:tcPr>
          <w:p w14:paraId="3A64D5D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监控布局安装</w:t>
            </w:r>
          </w:p>
        </w:tc>
        <w:tc>
          <w:tcPr>
            <w:tcW w:w="3164" w:type="dxa"/>
          </w:tcPr>
          <w:p w14:paraId="1ED4A49C">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监控显示器：55英寸显示器（园长办公室观察监控画面使用）；≥4TB硬盘录像机，存储≥30天</w:t>
            </w:r>
          </w:p>
        </w:tc>
        <w:tc>
          <w:tcPr>
            <w:tcW w:w="822" w:type="dxa"/>
          </w:tcPr>
          <w:p w14:paraId="199B1E2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6B28192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217C457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专项改造内容</w:t>
            </w:r>
          </w:p>
        </w:tc>
      </w:tr>
      <w:tr w14:paraId="3FE149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CFBDB36">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5</w:t>
            </w:r>
          </w:p>
        </w:tc>
        <w:tc>
          <w:tcPr>
            <w:tcW w:w="1858" w:type="dxa"/>
          </w:tcPr>
          <w:p w14:paraId="2075D46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电视支架</w:t>
            </w:r>
          </w:p>
        </w:tc>
        <w:tc>
          <w:tcPr>
            <w:tcW w:w="3164" w:type="dxa"/>
          </w:tcPr>
          <w:p w14:paraId="279C1CC4">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伸缩旋转式，承重≥70kg</w:t>
            </w:r>
          </w:p>
        </w:tc>
        <w:tc>
          <w:tcPr>
            <w:tcW w:w="822" w:type="dxa"/>
          </w:tcPr>
          <w:p w14:paraId="4C8599B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78F98D3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68DADF5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配件采购</w:t>
            </w:r>
          </w:p>
        </w:tc>
      </w:tr>
      <w:tr w14:paraId="35548F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265F859">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6</w:t>
            </w:r>
          </w:p>
        </w:tc>
        <w:tc>
          <w:tcPr>
            <w:tcW w:w="1858" w:type="dxa"/>
          </w:tcPr>
          <w:p w14:paraId="4AC5915C">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KVM延长器</w:t>
            </w:r>
          </w:p>
        </w:tc>
        <w:tc>
          <w:tcPr>
            <w:tcW w:w="3164" w:type="dxa"/>
          </w:tcPr>
          <w:p w14:paraId="57E961A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HDMI＋USB信号延长≤60m</w:t>
            </w:r>
          </w:p>
        </w:tc>
        <w:tc>
          <w:tcPr>
            <w:tcW w:w="822" w:type="dxa"/>
          </w:tcPr>
          <w:p w14:paraId="6B47B63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1610CF8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71FFADD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配件采购</w:t>
            </w:r>
          </w:p>
        </w:tc>
      </w:tr>
      <w:tr w14:paraId="69FBF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CD4CE41">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5</w:t>
            </w:r>
          </w:p>
        </w:tc>
        <w:tc>
          <w:tcPr>
            <w:tcW w:w="1858" w:type="dxa"/>
          </w:tcPr>
          <w:p w14:paraId="0A4C6D6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汇集交换机</w:t>
            </w:r>
          </w:p>
        </w:tc>
        <w:tc>
          <w:tcPr>
            <w:tcW w:w="3164" w:type="dxa"/>
          </w:tcPr>
          <w:p w14:paraId="3FD07D3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8口千兆交换机，传输速率≥1000Mbps，端口支持自动协商</w:t>
            </w:r>
          </w:p>
        </w:tc>
        <w:tc>
          <w:tcPr>
            <w:tcW w:w="822" w:type="dxa"/>
          </w:tcPr>
          <w:p w14:paraId="3BE9EEA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3812189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3.00</w:t>
            </w:r>
          </w:p>
        </w:tc>
        <w:tc>
          <w:tcPr>
            <w:tcW w:w="1157" w:type="dxa"/>
          </w:tcPr>
          <w:p w14:paraId="5B689D5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网络设备采购</w:t>
            </w:r>
          </w:p>
        </w:tc>
      </w:tr>
      <w:tr w14:paraId="4160F2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4127C8E">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6</w:t>
            </w:r>
          </w:p>
        </w:tc>
        <w:tc>
          <w:tcPr>
            <w:tcW w:w="1858" w:type="dxa"/>
          </w:tcPr>
          <w:p w14:paraId="3E7F587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超五类网线</w:t>
            </w:r>
          </w:p>
        </w:tc>
        <w:tc>
          <w:tcPr>
            <w:tcW w:w="3164" w:type="dxa"/>
          </w:tcPr>
          <w:p w14:paraId="220011B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纯铜CAT5e网线，线径≥0.5mm，传输频率≥100MHz</w:t>
            </w:r>
          </w:p>
        </w:tc>
        <w:tc>
          <w:tcPr>
            <w:tcW w:w="822" w:type="dxa"/>
          </w:tcPr>
          <w:p w14:paraId="0DCF7EC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米</w:t>
            </w:r>
          </w:p>
        </w:tc>
        <w:tc>
          <w:tcPr>
            <w:tcW w:w="971" w:type="dxa"/>
          </w:tcPr>
          <w:p w14:paraId="3E09C30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915.00</w:t>
            </w:r>
          </w:p>
        </w:tc>
        <w:tc>
          <w:tcPr>
            <w:tcW w:w="1157" w:type="dxa"/>
          </w:tcPr>
          <w:p w14:paraId="7049DBE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布线材料采购</w:t>
            </w:r>
          </w:p>
        </w:tc>
      </w:tr>
      <w:tr w14:paraId="39206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1E8939C">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7</w:t>
            </w:r>
          </w:p>
        </w:tc>
        <w:tc>
          <w:tcPr>
            <w:tcW w:w="1858" w:type="dxa"/>
          </w:tcPr>
          <w:p w14:paraId="6AB577E4">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9U交换机机柜</w:t>
            </w:r>
          </w:p>
        </w:tc>
        <w:tc>
          <w:tcPr>
            <w:tcW w:w="3164" w:type="dxa"/>
          </w:tcPr>
          <w:p w14:paraId="69F36C9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600×450×500mm机柜，材质为冷轧钢板，厚度≥1.2mm，防护等级≥IP20</w:t>
            </w:r>
          </w:p>
        </w:tc>
        <w:tc>
          <w:tcPr>
            <w:tcW w:w="822" w:type="dxa"/>
          </w:tcPr>
          <w:p w14:paraId="6C23D2A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46D557F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37558B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设备配套采购</w:t>
            </w:r>
          </w:p>
        </w:tc>
      </w:tr>
      <w:tr w14:paraId="68EB76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68990A1">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8</w:t>
            </w:r>
          </w:p>
        </w:tc>
        <w:tc>
          <w:tcPr>
            <w:tcW w:w="1858" w:type="dxa"/>
          </w:tcPr>
          <w:p w14:paraId="7D019D73">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安装配套工具</w:t>
            </w:r>
          </w:p>
        </w:tc>
        <w:tc>
          <w:tcPr>
            <w:tcW w:w="3164" w:type="dxa"/>
          </w:tcPr>
          <w:p w14:paraId="2D416B2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监控支架＋线槽＋电工工具套装</w:t>
            </w:r>
          </w:p>
        </w:tc>
        <w:tc>
          <w:tcPr>
            <w:tcW w:w="822" w:type="dxa"/>
          </w:tcPr>
          <w:p w14:paraId="3B4F561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052A28D1">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1</w:t>
            </w:r>
          </w:p>
        </w:tc>
        <w:tc>
          <w:tcPr>
            <w:tcW w:w="1157" w:type="dxa"/>
          </w:tcPr>
          <w:p w14:paraId="539769F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工具采购</w:t>
            </w:r>
          </w:p>
        </w:tc>
      </w:tr>
      <w:tr w14:paraId="172B84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A23E2C4">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9</w:t>
            </w:r>
          </w:p>
        </w:tc>
        <w:tc>
          <w:tcPr>
            <w:tcW w:w="1858" w:type="dxa"/>
          </w:tcPr>
          <w:p w14:paraId="3FF4FF4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安装调试费</w:t>
            </w:r>
          </w:p>
        </w:tc>
        <w:tc>
          <w:tcPr>
            <w:tcW w:w="3164" w:type="dxa"/>
          </w:tcPr>
          <w:p w14:paraId="74CAE6C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设备安装、布线、调试</w:t>
            </w:r>
          </w:p>
        </w:tc>
        <w:tc>
          <w:tcPr>
            <w:tcW w:w="822" w:type="dxa"/>
          </w:tcPr>
          <w:p w14:paraId="42B0DCC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1CC88D1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20.00</w:t>
            </w:r>
          </w:p>
        </w:tc>
        <w:tc>
          <w:tcPr>
            <w:tcW w:w="1157" w:type="dxa"/>
          </w:tcPr>
          <w:p w14:paraId="681B8D5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安装服务</w:t>
            </w:r>
          </w:p>
        </w:tc>
      </w:tr>
      <w:tr w14:paraId="651732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EBB901F">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10</w:t>
            </w:r>
          </w:p>
        </w:tc>
        <w:tc>
          <w:tcPr>
            <w:tcW w:w="1858" w:type="dxa"/>
          </w:tcPr>
          <w:p w14:paraId="19C8AEE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无线AP</w:t>
            </w:r>
          </w:p>
        </w:tc>
        <w:tc>
          <w:tcPr>
            <w:tcW w:w="3164" w:type="dxa"/>
          </w:tcPr>
          <w:p w14:paraId="6C0EA95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双频千兆POE AP，覆盖≥15m，2.4GHz 频段速率≥300Mbps，5GHz 频段速率≥1200Mbps，支持 802.11a/b/g/n/ac 协议</w:t>
            </w:r>
          </w:p>
        </w:tc>
        <w:tc>
          <w:tcPr>
            <w:tcW w:w="822" w:type="dxa"/>
          </w:tcPr>
          <w:p w14:paraId="0B0D92D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270FB23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7.00</w:t>
            </w:r>
          </w:p>
        </w:tc>
        <w:tc>
          <w:tcPr>
            <w:tcW w:w="1157" w:type="dxa"/>
          </w:tcPr>
          <w:p w14:paraId="50871DB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网络设备采购</w:t>
            </w:r>
          </w:p>
        </w:tc>
      </w:tr>
      <w:tr w14:paraId="0D389B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95F5E2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11</w:t>
            </w:r>
          </w:p>
        </w:tc>
        <w:tc>
          <w:tcPr>
            <w:tcW w:w="1858" w:type="dxa"/>
          </w:tcPr>
          <w:p w14:paraId="49E627D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无线AP</w:t>
            </w:r>
          </w:p>
        </w:tc>
        <w:tc>
          <w:tcPr>
            <w:tcW w:w="3164" w:type="dxa"/>
          </w:tcPr>
          <w:p w14:paraId="3EF8856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三频Wi－Fi 6E AP，覆盖≥20m，2.4GHz 频段速率≥300Mbps，5GHz 频段速率≥1200Mbps，支持 802.11a/b/g/n/ac 协议</w:t>
            </w:r>
          </w:p>
        </w:tc>
        <w:tc>
          <w:tcPr>
            <w:tcW w:w="822" w:type="dxa"/>
          </w:tcPr>
          <w:p w14:paraId="3DBE50C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147EEC1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DEA689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网络设备采购</w:t>
            </w:r>
          </w:p>
        </w:tc>
      </w:tr>
      <w:tr w14:paraId="3435017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9CE538B">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12</w:t>
            </w:r>
          </w:p>
        </w:tc>
        <w:tc>
          <w:tcPr>
            <w:tcW w:w="1858" w:type="dxa"/>
          </w:tcPr>
          <w:p w14:paraId="17B0842B">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供电交换机</w:t>
            </w:r>
          </w:p>
        </w:tc>
        <w:tc>
          <w:tcPr>
            <w:tcW w:w="3164" w:type="dxa"/>
          </w:tcPr>
          <w:p w14:paraId="056223E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8口（4个供电口+4个上联口），支持IEEE 802.3af标准，总供电功率≥60W，传输速率≥1000Mbps</w:t>
            </w:r>
          </w:p>
        </w:tc>
        <w:tc>
          <w:tcPr>
            <w:tcW w:w="822" w:type="dxa"/>
          </w:tcPr>
          <w:p w14:paraId="3F4AB9B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2FB67F3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85A34A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网络设备采购</w:t>
            </w:r>
          </w:p>
        </w:tc>
      </w:tr>
      <w:tr w14:paraId="50325C8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30564E3">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13</w:t>
            </w:r>
          </w:p>
        </w:tc>
        <w:tc>
          <w:tcPr>
            <w:tcW w:w="1858" w:type="dxa"/>
          </w:tcPr>
          <w:p w14:paraId="3969C3C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纯铜网线</w:t>
            </w:r>
          </w:p>
        </w:tc>
        <w:tc>
          <w:tcPr>
            <w:tcW w:w="3164" w:type="dxa"/>
          </w:tcPr>
          <w:p w14:paraId="7F1A172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六类纯铜CAT6网线</w:t>
            </w:r>
          </w:p>
        </w:tc>
        <w:tc>
          <w:tcPr>
            <w:tcW w:w="822" w:type="dxa"/>
          </w:tcPr>
          <w:p w14:paraId="6FC8DE8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箱</w:t>
            </w:r>
          </w:p>
        </w:tc>
        <w:tc>
          <w:tcPr>
            <w:tcW w:w="971" w:type="dxa"/>
          </w:tcPr>
          <w:p w14:paraId="5928DAC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1,220.00</w:t>
            </w:r>
          </w:p>
        </w:tc>
        <w:tc>
          <w:tcPr>
            <w:tcW w:w="1157" w:type="dxa"/>
          </w:tcPr>
          <w:p w14:paraId="669AB20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布线材料采购</w:t>
            </w:r>
          </w:p>
        </w:tc>
      </w:tr>
      <w:tr w14:paraId="63AA75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6112EB5">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14</w:t>
            </w:r>
          </w:p>
        </w:tc>
        <w:tc>
          <w:tcPr>
            <w:tcW w:w="1858" w:type="dxa"/>
          </w:tcPr>
          <w:p w14:paraId="292E7A8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48口交换机</w:t>
            </w:r>
          </w:p>
        </w:tc>
        <w:tc>
          <w:tcPr>
            <w:tcW w:w="3164" w:type="dxa"/>
          </w:tcPr>
          <w:p w14:paraId="266BD214">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48口千兆交换机</w:t>
            </w:r>
          </w:p>
        </w:tc>
        <w:tc>
          <w:tcPr>
            <w:tcW w:w="822" w:type="dxa"/>
          </w:tcPr>
          <w:p w14:paraId="5CACCCC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0FF8A35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10D31D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网络设备采购</w:t>
            </w:r>
          </w:p>
        </w:tc>
      </w:tr>
      <w:tr w14:paraId="4EED0E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063D3B45">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15</w:t>
            </w:r>
          </w:p>
        </w:tc>
        <w:tc>
          <w:tcPr>
            <w:tcW w:w="1858" w:type="dxa"/>
          </w:tcPr>
          <w:p w14:paraId="0319959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安装配套工具</w:t>
            </w:r>
          </w:p>
        </w:tc>
        <w:tc>
          <w:tcPr>
            <w:tcW w:w="3164" w:type="dxa"/>
          </w:tcPr>
          <w:p w14:paraId="6A3C2CA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线槽＋电工工具套装</w:t>
            </w:r>
          </w:p>
        </w:tc>
        <w:tc>
          <w:tcPr>
            <w:tcW w:w="822" w:type="dxa"/>
          </w:tcPr>
          <w:p w14:paraId="35221E5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76C41770">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1</w:t>
            </w:r>
          </w:p>
        </w:tc>
        <w:tc>
          <w:tcPr>
            <w:tcW w:w="1157" w:type="dxa"/>
          </w:tcPr>
          <w:p w14:paraId="059B6B5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工具采购</w:t>
            </w:r>
          </w:p>
        </w:tc>
      </w:tr>
      <w:tr w14:paraId="5AA953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4071398">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16</w:t>
            </w:r>
          </w:p>
        </w:tc>
        <w:tc>
          <w:tcPr>
            <w:tcW w:w="1858" w:type="dxa"/>
          </w:tcPr>
          <w:p w14:paraId="3A58513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安装调试费</w:t>
            </w:r>
          </w:p>
        </w:tc>
        <w:tc>
          <w:tcPr>
            <w:tcW w:w="3164" w:type="dxa"/>
          </w:tcPr>
          <w:p w14:paraId="4E2E5FF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设备安装、系统调试</w:t>
            </w:r>
          </w:p>
        </w:tc>
        <w:tc>
          <w:tcPr>
            <w:tcW w:w="822" w:type="dxa"/>
          </w:tcPr>
          <w:p w14:paraId="4AB8561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0E6B6EA8">
            <w:pPr>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color w:val="auto"/>
                <w:sz w:val="21"/>
                <w:szCs w:val="21"/>
                <w:highlight w:val="none"/>
                <w:lang w:val="en-US" w:eastAsia="zh-CN"/>
              </w:rPr>
              <w:t>1</w:t>
            </w:r>
          </w:p>
        </w:tc>
        <w:tc>
          <w:tcPr>
            <w:tcW w:w="1157" w:type="dxa"/>
          </w:tcPr>
          <w:p w14:paraId="6331214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安装服务</w:t>
            </w:r>
          </w:p>
        </w:tc>
      </w:tr>
      <w:tr w14:paraId="48F153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910F435">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17</w:t>
            </w:r>
          </w:p>
        </w:tc>
        <w:tc>
          <w:tcPr>
            <w:tcW w:w="1858" w:type="dxa"/>
          </w:tcPr>
          <w:p w14:paraId="2190D9FB">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宽带网络费用</w:t>
            </w:r>
          </w:p>
        </w:tc>
        <w:tc>
          <w:tcPr>
            <w:tcW w:w="3164" w:type="dxa"/>
          </w:tcPr>
          <w:p w14:paraId="53769F4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5年宽带网络费用年费支出</w:t>
            </w:r>
          </w:p>
        </w:tc>
        <w:tc>
          <w:tcPr>
            <w:tcW w:w="822" w:type="dxa"/>
          </w:tcPr>
          <w:p w14:paraId="4418002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年</w:t>
            </w:r>
          </w:p>
        </w:tc>
        <w:tc>
          <w:tcPr>
            <w:tcW w:w="971" w:type="dxa"/>
          </w:tcPr>
          <w:p w14:paraId="42B5E54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5.00</w:t>
            </w:r>
          </w:p>
        </w:tc>
        <w:tc>
          <w:tcPr>
            <w:tcW w:w="1157" w:type="dxa"/>
          </w:tcPr>
          <w:p w14:paraId="6DD4248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网络安装服务</w:t>
            </w:r>
          </w:p>
        </w:tc>
      </w:tr>
      <w:tr w14:paraId="3AAF9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83BC050">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18</w:t>
            </w:r>
          </w:p>
        </w:tc>
        <w:tc>
          <w:tcPr>
            <w:tcW w:w="1858" w:type="dxa"/>
          </w:tcPr>
          <w:p w14:paraId="1D0254F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网络安全防护软件</w:t>
            </w:r>
          </w:p>
        </w:tc>
        <w:tc>
          <w:tcPr>
            <w:tcW w:w="3164" w:type="dxa"/>
          </w:tcPr>
          <w:p w14:paraId="5A697D83">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5年30台设备授权，含防火墙＋杀毒，防火墙支持入侵检测、病毒防护、访问控制功能，杀毒软件支持实时防护、病毒库自动更新</w:t>
            </w:r>
          </w:p>
        </w:tc>
        <w:tc>
          <w:tcPr>
            <w:tcW w:w="822" w:type="dxa"/>
          </w:tcPr>
          <w:p w14:paraId="281BC0A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年</w:t>
            </w:r>
          </w:p>
        </w:tc>
        <w:tc>
          <w:tcPr>
            <w:tcW w:w="971" w:type="dxa"/>
          </w:tcPr>
          <w:p w14:paraId="0029E2A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5.00</w:t>
            </w:r>
          </w:p>
        </w:tc>
        <w:tc>
          <w:tcPr>
            <w:tcW w:w="1157" w:type="dxa"/>
          </w:tcPr>
          <w:p w14:paraId="2A7A268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软件采购</w:t>
            </w:r>
          </w:p>
        </w:tc>
      </w:tr>
      <w:tr w14:paraId="625E9B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3A82871">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19</w:t>
            </w:r>
          </w:p>
        </w:tc>
        <w:tc>
          <w:tcPr>
            <w:tcW w:w="1858" w:type="dxa"/>
          </w:tcPr>
          <w:p w14:paraId="1756741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会议音箱</w:t>
            </w:r>
          </w:p>
        </w:tc>
        <w:tc>
          <w:tcPr>
            <w:tcW w:w="3164" w:type="dxa"/>
          </w:tcPr>
          <w:p w14:paraId="7E3E822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6.5寸会议音箱</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系统类型：6.5"2单元2分频扬声器</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低音：1×6.5"</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高音：1×3"</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频响范围：60-18KHz (±3dB)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阻抗：8Ω</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额定功率：60W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峰值功率：240W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灵敏度：90dB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箱体结构：优质高密度板（MDF)</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箱体表面处理：黑色耐磨PVC</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连接器：2 x Speakon</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净重：2.8Kg</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箱体尺寸：310x200x180mm</w:t>
            </w:r>
          </w:p>
        </w:tc>
        <w:tc>
          <w:tcPr>
            <w:tcW w:w="822" w:type="dxa"/>
          </w:tcPr>
          <w:p w14:paraId="48F72D9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对</w:t>
            </w:r>
          </w:p>
        </w:tc>
        <w:tc>
          <w:tcPr>
            <w:tcW w:w="971" w:type="dxa"/>
          </w:tcPr>
          <w:p w14:paraId="25E6A33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65D6CAB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2671C9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F9CDCA3">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20</w:t>
            </w:r>
          </w:p>
        </w:tc>
        <w:tc>
          <w:tcPr>
            <w:tcW w:w="1858" w:type="dxa"/>
          </w:tcPr>
          <w:p w14:paraId="0395AC1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功放机</w:t>
            </w:r>
          </w:p>
        </w:tc>
        <w:tc>
          <w:tcPr>
            <w:tcW w:w="3164" w:type="dxa"/>
          </w:tcPr>
          <w:p w14:paraId="2A4872C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功率：120W*2 8Ω，240W*2 4Ω</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频率响应：20Hz-20KHz(±3dB)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信噪比：≥80dB(A计权)</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总谐波失真：≤0.5%(正常工作条件)</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信号输入灵敏度：220mV(±30mV)</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话筒输入灵敏度：9mV(±2mV)</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辅助电平输出：≈1V</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使用电压：220-240V 50/60Hz</w:t>
            </w:r>
          </w:p>
        </w:tc>
        <w:tc>
          <w:tcPr>
            <w:tcW w:w="822" w:type="dxa"/>
          </w:tcPr>
          <w:p w14:paraId="09D0809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63D0C84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63C8D03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53CFB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6C94B44">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21</w:t>
            </w:r>
          </w:p>
        </w:tc>
        <w:tc>
          <w:tcPr>
            <w:tcW w:w="1858" w:type="dxa"/>
          </w:tcPr>
          <w:p w14:paraId="0E6620D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无线麦克风（鹅颈式会议麦克风，一拖四）</w:t>
            </w:r>
          </w:p>
        </w:tc>
        <w:tc>
          <w:tcPr>
            <w:tcW w:w="3164" w:type="dxa"/>
          </w:tcPr>
          <w:p w14:paraId="393834A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载波频率：640MHz～690MHz（可调）</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电源适配器使用电压：AC110V-230V 50Hz/60Hz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直流输入电压：DC12</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消耗功率：13W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S/N信噪比：≥95dB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T.H.D失真：＜0.5%</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频率响应：60Hz -16KHz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发射功率：10dBm</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调制方式：FM</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调制度：±45KHz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高次谐波：低于主波基准60dB以上</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使用电池电压：3V（2节AA1.5V电池）</w:t>
            </w:r>
          </w:p>
        </w:tc>
        <w:tc>
          <w:tcPr>
            <w:tcW w:w="822" w:type="dxa"/>
          </w:tcPr>
          <w:p w14:paraId="513B3E0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08C04E5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4468C7E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73777F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024538FA">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22</w:t>
            </w:r>
          </w:p>
        </w:tc>
        <w:tc>
          <w:tcPr>
            <w:tcW w:w="1858" w:type="dxa"/>
          </w:tcPr>
          <w:p w14:paraId="24E7C38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无线麦克风（手持式会议麦克风，一拖四）</w:t>
            </w:r>
          </w:p>
        </w:tc>
        <w:tc>
          <w:tcPr>
            <w:tcW w:w="3164" w:type="dxa"/>
          </w:tcPr>
          <w:p w14:paraId="596285B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载波频率：640MHz～690MHz（可调）</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电源适配器使用电压：AC110V-230V 50Hz/60Hz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直流输入电压：DC12</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消耗功率：13W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S/N信噪比：≥95dB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T.H.D失真：＜0.5%</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频率响应：60Hz -16KHz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发射功率：10dBm</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调制方式：FM</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调制度：±45KHz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高次谐波：低于主波基准60dB以上</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使用电池电压：3V（2节AA1.5V电池）</w:t>
            </w:r>
          </w:p>
        </w:tc>
        <w:tc>
          <w:tcPr>
            <w:tcW w:w="822" w:type="dxa"/>
          </w:tcPr>
          <w:p w14:paraId="3FE164B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7F49748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5A57F4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395F90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9129F00">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23</w:t>
            </w:r>
          </w:p>
        </w:tc>
        <w:tc>
          <w:tcPr>
            <w:tcW w:w="1858" w:type="dxa"/>
          </w:tcPr>
          <w:p w14:paraId="36CE1E1B">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专业音响线</w:t>
            </w:r>
          </w:p>
        </w:tc>
        <w:tc>
          <w:tcPr>
            <w:tcW w:w="3164" w:type="dxa"/>
          </w:tcPr>
          <w:p w14:paraId="367B163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0.75²×2 股，纯无氧铜</w:t>
            </w:r>
          </w:p>
        </w:tc>
        <w:tc>
          <w:tcPr>
            <w:tcW w:w="822" w:type="dxa"/>
          </w:tcPr>
          <w:p w14:paraId="2EAA1D0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米</w:t>
            </w:r>
          </w:p>
        </w:tc>
        <w:tc>
          <w:tcPr>
            <w:tcW w:w="971" w:type="dxa"/>
          </w:tcPr>
          <w:p w14:paraId="7672E9B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60.00</w:t>
            </w:r>
          </w:p>
        </w:tc>
        <w:tc>
          <w:tcPr>
            <w:tcW w:w="1157" w:type="dxa"/>
          </w:tcPr>
          <w:p w14:paraId="02019E8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布线材料采购</w:t>
            </w:r>
          </w:p>
        </w:tc>
      </w:tr>
      <w:tr w14:paraId="48EDF3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47200C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24</w:t>
            </w:r>
          </w:p>
        </w:tc>
        <w:tc>
          <w:tcPr>
            <w:tcW w:w="1858" w:type="dxa"/>
          </w:tcPr>
          <w:p w14:paraId="352418A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无线投屏器</w:t>
            </w:r>
          </w:p>
        </w:tc>
        <w:tc>
          <w:tcPr>
            <w:tcW w:w="3164" w:type="dxa"/>
          </w:tcPr>
          <w:p w14:paraId="737A56E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50米高清投屏，多设备切换</w:t>
            </w:r>
          </w:p>
        </w:tc>
        <w:tc>
          <w:tcPr>
            <w:tcW w:w="822" w:type="dxa"/>
          </w:tcPr>
          <w:p w14:paraId="3084600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798A078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29F806B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1B7859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08322A5">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25</w:t>
            </w:r>
          </w:p>
        </w:tc>
        <w:tc>
          <w:tcPr>
            <w:tcW w:w="1858" w:type="dxa"/>
          </w:tcPr>
          <w:p w14:paraId="75F0F9B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HDMI视频线</w:t>
            </w:r>
          </w:p>
        </w:tc>
        <w:tc>
          <w:tcPr>
            <w:tcW w:w="3164" w:type="dxa"/>
          </w:tcPr>
          <w:p w14:paraId="16646F5C">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2m 4K镀金HDMI线</w:t>
            </w:r>
          </w:p>
        </w:tc>
        <w:tc>
          <w:tcPr>
            <w:tcW w:w="822" w:type="dxa"/>
          </w:tcPr>
          <w:p w14:paraId="0FA3393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条</w:t>
            </w:r>
          </w:p>
        </w:tc>
        <w:tc>
          <w:tcPr>
            <w:tcW w:w="971" w:type="dxa"/>
          </w:tcPr>
          <w:p w14:paraId="509088D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27CA2FA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配件采购</w:t>
            </w:r>
          </w:p>
        </w:tc>
      </w:tr>
      <w:tr w14:paraId="73159B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B96A681">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26</w:t>
            </w:r>
          </w:p>
        </w:tc>
        <w:tc>
          <w:tcPr>
            <w:tcW w:w="1858" w:type="dxa"/>
          </w:tcPr>
          <w:p w14:paraId="588629A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多媒体音响</w:t>
            </w:r>
          </w:p>
        </w:tc>
        <w:tc>
          <w:tcPr>
            <w:tcW w:w="3164" w:type="dxa"/>
          </w:tcPr>
          <w:p w14:paraId="4926FDC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会议音响组合（可参考多功能活动室音响设备）</w:t>
            </w:r>
          </w:p>
        </w:tc>
        <w:tc>
          <w:tcPr>
            <w:tcW w:w="822" w:type="dxa"/>
          </w:tcPr>
          <w:p w14:paraId="001E849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3ED4D2A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0E32A6E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6ABB6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519CFB8">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27</w:t>
            </w:r>
          </w:p>
        </w:tc>
        <w:tc>
          <w:tcPr>
            <w:tcW w:w="1858" w:type="dxa"/>
          </w:tcPr>
          <w:p w14:paraId="5FE2082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台式麦克风</w:t>
            </w:r>
          </w:p>
        </w:tc>
        <w:tc>
          <w:tcPr>
            <w:tcW w:w="3164" w:type="dxa"/>
          </w:tcPr>
          <w:p w14:paraId="58D51A1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会议专用台式麦克风</w:t>
            </w:r>
          </w:p>
        </w:tc>
        <w:tc>
          <w:tcPr>
            <w:tcW w:w="822" w:type="dxa"/>
          </w:tcPr>
          <w:p w14:paraId="0D744F7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5C7CF28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3FB54AF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1B249A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957DF94">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28</w:t>
            </w:r>
          </w:p>
        </w:tc>
        <w:tc>
          <w:tcPr>
            <w:tcW w:w="1858" w:type="dxa"/>
          </w:tcPr>
          <w:p w14:paraId="4C0F0D7B">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无线麦克风</w:t>
            </w:r>
          </w:p>
        </w:tc>
        <w:tc>
          <w:tcPr>
            <w:tcW w:w="3164" w:type="dxa"/>
          </w:tcPr>
          <w:p w14:paraId="5247A98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手持无线麦克风，含防喷网，无线传输</w:t>
            </w:r>
          </w:p>
        </w:tc>
        <w:tc>
          <w:tcPr>
            <w:tcW w:w="822" w:type="dxa"/>
          </w:tcPr>
          <w:p w14:paraId="4E9DA7E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4988241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04BA63A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6AD59C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255C00A">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29</w:t>
            </w:r>
          </w:p>
        </w:tc>
        <w:tc>
          <w:tcPr>
            <w:tcW w:w="1858" w:type="dxa"/>
          </w:tcPr>
          <w:p w14:paraId="50CA1EC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安装调试费</w:t>
            </w:r>
          </w:p>
        </w:tc>
        <w:tc>
          <w:tcPr>
            <w:tcW w:w="3164" w:type="dxa"/>
          </w:tcPr>
          <w:p w14:paraId="1EF88253">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设备安装、音质校准、投屏测试，含省市直播设备（含背景墙）的设计与安装</w:t>
            </w:r>
          </w:p>
        </w:tc>
        <w:tc>
          <w:tcPr>
            <w:tcW w:w="822" w:type="dxa"/>
          </w:tcPr>
          <w:p w14:paraId="091F595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0B36F72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8.00</w:t>
            </w:r>
          </w:p>
        </w:tc>
        <w:tc>
          <w:tcPr>
            <w:tcW w:w="1157" w:type="dxa"/>
          </w:tcPr>
          <w:p w14:paraId="2BEA6B5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安装服务</w:t>
            </w:r>
          </w:p>
        </w:tc>
      </w:tr>
      <w:tr w14:paraId="3AC9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38FA38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30</w:t>
            </w:r>
          </w:p>
        </w:tc>
        <w:tc>
          <w:tcPr>
            <w:tcW w:w="1858" w:type="dxa"/>
          </w:tcPr>
          <w:p w14:paraId="2B9FB4D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会议音箱</w:t>
            </w:r>
          </w:p>
        </w:tc>
        <w:tc>
          <w:tcPr>
            <w:tcW w:w="3164" w:type="dxa"/>
          </w:tcPr>
          <w:p w14:paraId="5E549F8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8寸会议音箱</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系统类型：8"2单元2分频扬声器</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低音：1×8"</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高音：1×3"</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频响范围：60-18KHz (±3dB)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阻抗：8Ω</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额定功率：100W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峰值功率：320W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灵敏度：95dB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箱体结构：优质高密度板（MDF)</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箱体表面处理：黑色耐磨PVC</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连接器：2 x Speakon</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净重：5.75Kg</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箱体尺寸：440x240x220mm</w:t>
            </w:r>
          </w:p>
        </w:tc>
        <w:tc>
          <w:tcPr>
            <w:tcW w:w="822" w:type="dxa"/>
          </w:tcPr>
          <w:p w14:paraId="2ACF0AA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对</w:t>
            </w:r>
          </w:p>
        </w:tc>
        <w:tc>
          <w:tcPr>
            <w:tcW w:w="971" w:type="dxa"/>
          </w:tcPr>
          <w:p w14:paraId="4648C6C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1065E88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6CA54C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08B4736F">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31</w:t>
            </w:r>
          </w:p>
        </w:tc>
        <w:tc>
          <w:tcPr>
            <w:tcW w:w="1858" w:type="dxa"/>
          </w:tcPr>
          <w:p w14:paraId="50DA6CE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功放机</w:t>
            </w:r>
          </w:p>
        </w:tc>
        <w:tc>
          <w:tcPr>
            <w:tcW w:w="3164" w:type="dxa"/>
          </w:tcPr>
          <w:p w14:paraId="5C1F55D2">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功率：150W*2 8Ω；300W*2 4Ω</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频率响应：20Hz-20KHz(±3dB)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信噪比：≥80dB(A计权)</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总谐波失真：≤0.5%(正常工作条件)</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信号输入灵敏度：220mV(±30mV)</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话筒输入灵敏度：9mV(±2mV)</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辅助电平输出：21V</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使用电压：220-240V 50/60Hz</w:t>
            </w:r>
          </w:p>
        </w:tc>
        <w:tc>
          <w:tcPr>
            <w:tcW w:w="822" w:type="dxa"/>
          </w:tcPr>
          <w:p w14:paraId="51356ED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2269210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BCC1E7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0AFDCD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4950962">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32</w:t>
            </w:r>
          </w:p>
        </w:tc>
        <w:tc>
          <w:tcPr>
            <w:tcW w:w="1858" w:type="dxa"/>
          </w:tcPr>
          <w:p w14:paraId="707E37D2">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无线手持麦克风（一拖四）</w:t>
            </w:r>
          </w:p>
        </w:tc>
        <w:tc>
          <w:tcPr>
            <w:tcW w:w="3164" w:type="dxa"/>
          </w:tcPr>
          <w:p w14:paraId="2DE9555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载波频率：640MHz～690MHz（可调）</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电源适配器使用电压：AC110V-230V 50Hz/60Hz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直流输入电压：DC12</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消耗功率：13W</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S/N信噪比：≥95dB</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T.H.D失真：＜0.5%</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频率响应：60Hz -16KHz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发射功率：10dBm</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调制方式：FM</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调制度：±45KHz</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高次谐波：低于主波基准60dB以上</w:t>
            </w:r>
            <w:r>
              <w:rPr>
                <w:rFonts w:hint="eastAsia" w:ascii="宋体" w:hAnsi="宋体" w:eastAsia="宋体" w:cs="宋体"/>
                <w:b w:val="0"/>
                <w:color w:val="auto"/>
                <w:sz w:val="21"/>
                <w:szCs w:val="21"/>
                <w:highlight w:val="none"/>
              </w:rPr>
              <w:br w:type="textWrapping"/>
            </w:r>
            <w:r>
              <w:rPr>
                <w:rFonts w:hint="eastAsia" w:ascii="宋体" w:hAnsi="宋体" w:eastAsia="宋体" w:cs="宋体"/>
                <w:b w:val="0"/>
                <w:color w:val="auto"/>
                <w:sz w:val="21"/>
                <w:szCs w:val="21"/>
                <w:highlight w:val="none"/>
              </w:rPr>
              <w:t>使用电池电压：3V（2节AA1.5V电池）</w:t>
            </w:r>
          </w:p>
        </w:tc>
        <w:tc>
          <w:tcPr>
            <w:tcW w:w="822" w:type="dxa"/>
          </w:tcPr>
          <w:p w14:paraId="7B2A709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7B247AE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DE5D97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音响设备采购</w:t>
            </w:r>
          </w:p>
        </w:tc>
      </w:tr>
      <w:tr w14:paraId="40BF4A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600C7121">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33</w:t>
            </w:r>
          </w:p>
        </w:tc>
        <w:tc>
          <w:tcPr>
            <w:tcW w:w="1858" w:type="dxa"/>
          </w:tcPr>
          <w:p w14:paraId="4891DA62">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专业音响线</w:t>
            </w:r>
          </w:p>
        </w:tc>
        <w:tc>
          <w:tcPr>
            <w:tcW w:w="3164" w:type="dxa"/>
          </w:tcPr>
          <w:p w14:paraId="10BC466C">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0.75²×2 股，纯无氧铜</w:t>
            </w:r>
          </w:p>
        </w:tc>
        <w:tc>
          <w:tcPr>
            <w:tcW w:w="822" w:type="dxa"/>
          </w:tcPr>
          <w:p w14:paraId="1C5FEFC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米</w:t>
            </w:r>
          </w:p>
        </w:tc>
        <w:tc>
          <w:tcPr>
            <w:tcW w:w="971" w:type="dxa"/>
          </w:tcPr>
          <w:p w14:paraId="24B8F81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120.00</w:t>
            </w:r>
          </w:p>
        </w:tc>
        <w:tc>
          <w:tcPr>
            <w:tcW w:w="1157" w:type="dxa"/>
          </w:tcPr>
          <w:p w14:paraId="1B55003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布线材料采购</w:t>
            </w:r>
          </w:p>
        </w:tc>
      </w:tr>
      <w:tr w14:paraId="5DD5B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CB9A843">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34</w:t>
            </w:r>
          </w:p>
        </w:tc>
        <w:tc>
          <w:tcPr>
            <w:tcW w:w="1858" w:type="dxa"/>
          </w:tcPr>
          <w:p w14:paraId="2EAA06D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专业音响壁挂架</w:t>
            </w:r>
          </w:p>
        </w:tc>
        <w:tc>
          <w:tcPr>
            <w:tcW w:w="3164" w:type="dxa"/>
          </w:tcPr>
          <w:p w14:paraId="0212793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专业音响用安装配件支架，加厚型（10寸/12寸用）</w:t>
            </w:r>
          </w:p>
        </w:tc>
        <w:tc>
          <w:tcPr>
            <w:tcW w:w="822" w:type="dxa"/>
          </w:tcPr>
          <w:p w14:paraId="0FF83F4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对</w:t>
            </w:r>
          </w:p>
        </w:tc>
        <w:tc>
          <w:tcPr>
            <w:tcW w:w="971" w:type="dxa"/>
          </w:tcPr>
          <w:p w14:paraId="14F6E7A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044B8D9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17FB5E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484FE4A">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35</w:t>
            </w:r>
          </w:p>
        </w:tc>
        <w:tc>
          <w:tcPr>
            <w:tcW w:w="1858" w:type="dxa"/>
          </w:tcPr>
          <w:p w14:paraId="1BC90AB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无线讲解器</w:t>
            </w:r>
          </w:p>
        </w:tc>
        <w:tc>
          <w:tcPr>
            <w:tcW w:w="3164" w:type="dxa"/>
          </w:tcPr>
          <w:p w14:paraId="617A076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一对多耳机，一拖50</w:t>
            </w:r>
          </w:p>
        </w:tc>
        <w:tc>
          <w:tcPr>
            <w:tcW w:w="822" w:type="dxa"/>
          </w:tcPr>
          <w:p w14:paraId="6CD8B88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24E99AF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0CC46BF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设备采购</w:t>
            </w:r>
          </w:p>
        </w:tc>
      </w:tr>
      <w:tr w14:paraId="097CB0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EE9EF1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36</w:t>
            </w:r>
          </w:p>
        </w:tc>
        <w:tc>
          <w:tcPr>
            <w:tcW w:w="1858" w:type="dxa"/>
          </w:tcPr>
          <w:p w14:paraId="6F929F2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电视支架</w:t>
            </w:r>
          </w:p>
        </w:tc>
        <w:tc>
          <w:tcPr>
            <w:tcW w:w="3164" w:type="dxa"/>
          </w:tcPr>
          <w:p w14:paraId="36C6067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同3-4规格</w:t>
            </w:r>
          </w:p>
        </w:tc>
        <w:tc>
          <w:tcPr>
            <w:tcW w:w="822" w:type="dxa"/>
          </w:tcPr>
          <w:p w14:paraId="1127110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01AFDB9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1FFF508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配件采购</w:t>
            </w:r>
          </w:p>
        </w:tc>
      </w:tr>
      <w:tr w14:paraId="0B1C1F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7A8DB152">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37</w:t>
            </w:r>
          </w:p>
        </w:tc>
        <w:tc>
          <w:tcPr>
            <w:tcW w:w="1858" w:type="dxa"/>
          </w:tcPr>
          <w:p w14:paraId="7CDB48F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HDMI分配器</w:t>
            </w:r>
          </w:p>
        </w:tc>
        <w:tc>
          <w:tcPr>
            <w:tcW w:w="3164" w:type="dxa"/>
          </w:tcPr>
          <w:p w14:paraId="0D2CAE1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1进8出4K分配器，支持直播信号分路，支持 4K@60Hz 分辨率，带宽≥18Gbps，输出接口 HDMI 2.0</w:t>
            </w:r>
          </w:p>
        </w:tc>
        <w:tc>
          <w:tcPr>
            <w:tcW w:w="822" w:type="dxa"/>
          </w:tcPr>
          <w:p w14:paraId="2F87F2C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0965961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0016D1A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2F082E6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2EC4290">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38</w:t>
            </w:r>
          </w:p>
        </w:tc>
        <w:tc>
          <w:tcPr>
            <w:tcW w:w="1858" w:type="dxa"/>
          </w:tcPr>
          <w:p w14:paraId="02213812">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无线投屏器</w:t>
            </w:r>
          </w:p>
        </w:tc>
        <w:tc>
          <w:tcPr>
            <w:tcW w:w="3164" w:type="dxa"/>
          </w:tcPr>
          <w:p w14:paraId="03DAFF74">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同5-12规格</w:t>
            </w:r>
          </w:p>
        </w:tc>
        <w:tc>
          <w:tcPr>
            <w:tcW w:w="822" w:type="dxa"/>
          </w:tcPr>
          <w:p w14:paraId="2197330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012215E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343E3EC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配套设备采购</w:t>
            </w:r>
          </w:p>
        </w:tc>
      </w:tr>
      <w:tr w14:paraId="7DD818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82C497C">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39</w:t>
            </w:r>
          </w:p>
        </w:tc>
        <w:tc>
          <w:tcPr>
            <w:tcW w:w="1858" w:type="dxa"/>
          </w:tcPr>
          <w:p w14:paraId="12549B33">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10米HDMI线</w:t>
            </w:r>
          </w:p>
        </w:tc>
        <w:tc>
          <w:tcPr>
            <w:tcW w:w="3164" w:type="dxa"/>
          </w:tcPr>
          <w:p w14:paraId="564686B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10m 4K HDMI 线，支持 4K@60Hz 分辨率，带宽≥18Gbps，镀金接口抗氧化</w:t>
            </w:r>
          </w:p>
        </w:tc>
        <w:tc>
          <w:tcPr>
            <w:tcW w:w="822" w:type="dxa"/>
          </w:tcPr>
          <w:p w14:paraId="196855F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条</w:t>
            </w:r>
          </w:p>
        </w:tc>
        <w:tc>
          <w:tcPr>
            <w:tcW w:w="971" w:type="dxa"/>
          </w:tcPr>
          <w:p w14:paraId="54EBE30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10.00</w:t>
            </w:r>
          </w:p>
        </w:tc>
        <w:tc>
          <w:tcPr>
            <w:tcW w:w="1157" w:type="dxa"/>
          </w:tcPr>
          <w:p w14:paraId="24DF4CD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配件采购</w:t>
            </w:r>
          </w:p>
        </w:tc>
      </w:tr>
      <w:tr w14:paraId="7C7E1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688A988">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40</w:t>
            </w:r>
          </w:p>
        </w:tc>
        <w:tc>
          <w:tcPr>
            <w:tcW w:w="1858" w:type="dxa"/>
          </w:tcPr>
          <w:p w14:paraId="5266F4D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扩声系统调试</w:t>
            </w:r>
          </w:p>
        </w:tc>
        <w:tc>
          <w:tcPr>
            <w:tcW w:w="3164" w:type="dxa"/>
          </w:tcPr>
          <w:p w14:paraId="0F375247">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设备安装、音质校准、信号测试，含省厅会议系统接口直播设备（含背景墙）的设计与安装</w:t>
            </w:r>
          </w:p>
        </w:tc>
        <w:tc>
          <w:tcPr>
            <w:tcW w:w="822" w:type="dxa"/>
          </w:tcPr>
          <w:p w14:paraId="3420C38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67F01EC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5.00</w:t>
            </w:r>
          </w:p>
        </w:tc>
        <w:tc>
          <w:tcPr>
            <w:tcW w:w="1157" w:type="dxa"/>
          </w:tcPr>
          <w:p w14:paraId="257A7AF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安装服务</w:t>
            </w:r>
          </w:p>
        </w:tc>
      </w:tr>
      <w:tr w14:paraId="10984E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D1A3A7D">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41</w:t>
            </w:r>
          </w:p>
        </w:tc>
        <w:tc>
          <w:tcPr>
            <w:tcW w:w="1858" w:type="dxa"/>
          </w:tcPr>
          <w:p w14:paraId="5E96B662">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扩声系统试运行</w:t>
            </w:r>
          </w:p>
        </w:tc>
        <w:tc>
          <w:tcPr>
            <w:tcW w:w="3164" w:type="dxa"/>
          </w:tcPr>
          <w:p w14:paraId="40CE783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保养＋软件升级＋故障维修</w:t>
            </w:r>
          </w:p>
        </w:tc>
        <w:tc>
          <w:tcPr>
            <w:tcW w:w="822" w:type="dxa"/>
          </w:tcPr>
          <w:p w14:paraId="6BFC4FAB">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59F2C4D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5883D0B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设备配套服务</w:t>
            </w:r>
          </w:p>
        </w:tc>
      </w:tr>
      <w:tr w14:paraId="75865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8959098">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42</w:t>
            </w:r>
          </w:p>
        </w:tc>
        <w:tc>
          <w:tcPr>
            <w:tcW w:w="1858" w:type="dxa"/>
          </w:tcPr>
          <w:p w14:paraId="5F105CBB">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考试系统软件</w:t>
            </w:r>
          </w:p>
        </w:tc>
        <w:tc>
          <w:tcPr>
            <w:tcW w:w="3164" w:type="dxa"/>
          </w:tcPr>
          <w:p w14:paraId="3140A104">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考试软件及考试服务项目，支持在线考试、自动阅卷、成绩统计功能，最多支持 50 人同时在线考试，题库容量≥1000题，支持多种题型（单选、多选、判断、简答）</w:t>
            </w:r>
          </w:p>
        </w:tc>
        <w:tc>
          <w:tcPr>
            <w:tcW w:w="822" w:type="dxa"/>
          </w:tcPr>
          <w:p w14:paraId="538A438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416CE37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43E5AB4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20C547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6845FE5C">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43</w:t>
            </w:r>
          </w:p>
        </w:tc>
        <w:tc>
          <w:tcPr>
            <w:tcW w:w="1858" w:type="dxa"/>
          </w:tcPr>
          <w:p w14:paraId="1B6F24C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实训室网络布线</w:t>
            </w:r>
          </w:p>
        </w:tc>
        <w:tc>
          <w:tcPr>
            <w:tcW w:w="3164" w:type="dxa"/>
          </w:tcPr>
          <w:p w14:paraId="7216A16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超六类网线＋线槽＋水晶头，按实际需要定价</w:t>
            </w:r>
          </w:p>
        </w:tc>
        <w:tc>
          <w:tcPr>
            <w:tcW w:w="822" w:type="dxa"/>
          </w:tcPr>
          <w:p w14:paraId="49AC4CA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07C7ABA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5D60A26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网络改造内容</w:t>
            </w:r>
          </w:p>
        </w:tc>
      </w:tr>
      <w:tr w14:paraId="49BD94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398123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44</w:t>
            </w:r>
          </w:p>
        </w:tc>
        <w:tc>
          <w:tcPr>
            <w:tcW w:w="1858" w:type="dxa"/>
          </w:tcPr>
          <w:p w14:paraId="56315106">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研发设备安装调试费</w:t>
            </w:r>
          </w:p>
        </w:tc>
        <w:tc>
          <w:tcPr>
            <w:tcW w:w="3164" w:type="dxa"/>
          </w:tcPr>
          <w:p w14:paraId="1CC459E7">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设备安装、系统调试、运输费用</w:t>
            </w:r>
          </w:p>
        </w:tc>
        <w:tc>
          <w:tcPr>
            <w:tcW w:w="822" w:type="dxa"/>
          </w:tcPr>
          <w:p w14:paraId="31361F1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17A404A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w:t>
            </w:r>
          </w:p>
        </w:tc>
        <w:tc>
          <w:tcPr>
            <w:tcW w:w="1157" w:type="dxa"/>
          </w:tcPr>
          <w:p w14:paraId="4501EF1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设备配套服务</w:t>
            </w:r>
          </w:p>
        </w:tc>
      </w:tr>
      <w:tr w14:paraId="503724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BED65C4">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45</w:t>
            </w:r>
          </w:p>
        </w:tc>
        <w:tc>
          <w:tcPr>
            <w:tcW w:w="1858" w:type="dxa"/>
          </w:tcPr>
          <w:p w14:paraId="76CCE08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1DFEC145">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无线麦克风（1拖2），可适用【安卓/苹果】手机</w:t>
            </w:r>
          </w:p>
        </w:tc>
        <w:tc>
          <w:tcPr>
            <w:tcW w:w="822" w:type="dxa"/>
          </w:tcPr>
          <w:p w14:paraId="3AA7167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51403F9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38C13BA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559E8F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335C06B3">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46</w:t>
            </w:r>
          </w:p>
        </w:tc>
        <w:tc>
          <w:tcPr>
            <w:tcW w:w="1858" w:type="dxa"/>
          </w:tcPr>
          <w:p w14:paraId="146197D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0FD5D7F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4K摄像头,分辨率 3840×2160，帧率 60fps，镜头焦距 2.8mm，支持自动对焦、红外补光</w:t>
            </w:r>
          </w:p>
        </w:tc>
        <w:tc>
          <w:tcPr>
            <w:tcW w:w="822" w:type="dxa"/>
          </w:tcPr>
          <w:p w14:paraId="1400CAB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741C2F6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5B8A3AA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28B786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1508AA1">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47</w:t>
            </w:r>
          </w:p>
        </w:tc>
        <w:tc>
          <w:tcPr>
            <w:tcW w:w="1858" w:type="dxa"/>
          </w:tcPr>
          <w:p w14:paraId="261AABB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1A96942A">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视频采集卡（直播专用），支持 4K@60Hz 输入输出，采样率≥48kHz，bit 深度≥24bit，接口为 HDMI 2.0</w:t>
            </w:r>
          </w:p>
        </w:tc>
        <w:tc>
          <w:tcPr>
            <w:tcW w:w="822" w:type="dxa"/>
          </w:tcPr>
          <w:p w14:paraId="3575E43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个</w:t>
            </w:r>
          </w:p>
        </w:tc>
        <w:tc>
          <w:tcPr>
            <w:tcW w:w="971" w:type="dxa"/>
          </w:tcPr>
          <w:p w14:paraId="61C7B54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49B0EFDF">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1C47BE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4C2F12A">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48</w:t>
            </w:r>
          </w:p>
        </w:tc>
        <w:tc>
          <w:tcPr>
            <w:tcW w:w="1858" w:type="dxa"/>
          </w:tcPr>
          <w:p w14:paraId="05671F9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58610832">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3 种主题背景，电动背景轴龙门架升降机 + 落地架，背景材质为防水帆布，尺寸3m×2.5m，电动背景轴升降速度可调节，龙门架材质为铝合金，承重≥50kg</w:t>
            </w:r>
          </w:p>
        </w:tc>
        <w:tc>
          <w:tcPr>
            <w:tcW w:w="822" w:type="dxa"/>
          </w:tcPr>
          <w:p w14:paraId="0DC637C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5E7470E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2283C9B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10AEE45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984A14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49</w:t>
            </w:r>
          </w:p>
        </w:tc>
        <w:tc>
          <w:tcPr>
            <w:tcW w:w="1858" w:type="dxa"/>
          </w:tcPr>
          <w:p w14:paraId="3F40001F">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5608D99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150---200W专业直播间灯光90cm深口柔光箱X 2（灯+灯罩）+65cm柔光球，色温 2700K-6500K 可调，亮度可调节，显色指数≥95</w:t>
            </w:r>
          </w:p>
        </w:tc>
        <w:tc>
          <w:tcPr>
            <w:tcW w:w="822" w:type="dxa"/>
          </w:tcPr>
          <w:p w14:paraId="044A826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678F622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0E91A31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2AD43E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BBE29F7">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50</w:t>
            </w:r>
          </w:p>
        </w:tc>
        <w:tc>
          <w:tcPr>
            <w:tcW w:w="1858" w:type="dxa"/>
          </w:tcPr>
          <w:p w14:paraId="7C59A78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367B3D2C">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150---200W专业直播间灯光95cm八角顶灯单灯+95CM八角柔光灯箱，色温 2700K-6500K 可调，亮度可调节，显色指数≥95</w:t>
            </w:r>
          </w:p>
        </w:tc>
        <w:tc>
          <w:tcPr>
            <w:tcW w:w="822" w:type="dxa"/>
          </w:tcPr>
          <w:p w14:paraId="7E5F85A5">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套</w:t>
            </w:r>
          </w:p>
        </w:tc>
        <w:tc>
          <w:tcPr>
            <w:tcW w:w="971" w:type="dxa"/>
          </w:tcPr>
          <w:p w14:paraId="12444A7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0D2E053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0218DE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DDF1443">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51</w:t>
            </w:r>
          </w:p>
        </w:tc>
        <w:tc>
          <w:tcPr>
            <w:tcW w:w="1858" w:type="dxa"/>
          </w:tcPr>
          <w:p w14:paraId="3237FF0E">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台式计算机</w:t>
            </w:r>
          </w:p>
        </w:tc>
        <w:tc>
          <w:tcPr>
            <w:tcW w:w="3164" w:type="dxa"/>
          </w:tcPr>
          <w:p w14:paraId="17EEB52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主机 16G+1TB＋27 英寸显示屏，显示屏分辨率 1920×1080，亮度≥250cd/㎡，CPU 主频≥3.0GHz，核心数≥8 核，显卡显存≥4GB</w:t>
            </w:r>
          </w:p>
        </w:tc>
        <w:tc>
          <w:tcPr>
            <w:tcW w:w="822" w:type="dxa"/>
          </w:tcPr>
          <w:p w14:paraId="465CCE6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3E11D6D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63723C8D">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5E01AE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642744E">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52</w:t>
            </w:r>
          </w:p>
        </w:tc>
        <w:tc>
          <w:tcPr>
            <w:tcW w:w="1858" w:type="dxa"/>
          </w:tcPr>
          <w:p w14:paraId="7A5F4F5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420BB16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直播专用手机，国产品牌，手机内存16GB＋1TB，摄像头像素5000万像素，屏幕尺寸≥6.7 英寸，分辨率≥2400*1080</w:t>
            </w:r>
          </w:p>
        </w:tc>
        <w:tc>
          <w:tcPr>
            <w:tcW w:w="822" w:type="dxa"/>
          </w:tcPr>
          <w:p w14:paraId="60A7EA14">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2E620561">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08790323">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122966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06E8AE7F">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53</w:t>
            </w:r>
          </w:p>
        </w:tc>
        <w:tc>
          <w:tcPr>
            <w:tcW w:w="1858" w:type="dxa"/>
          </w:tcPr>
          <w:p w14:paraId="517C5603">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3AA55593">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65英寸直播大屏 4K + 支架包安装，分辨率 3840×2160，亮度≥500cd/㎡，对比度≥1200:1，支持 HDMI 2.0接口，支架材质为铝合金，承重≥80kg</w:t>
            </w:r>
          </w:p>
        </w:tc>
        <w:tc>
          <w:tcPr>
            <w:tcW w:w="822" w:type="dxa"/>
          </w:tcPr>
          <w:p w14:paraId="013A801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3F74252E">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47CB5B5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651CCB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629F10B1">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54</w:t>
            </w:r>
          </w:p>
        </w:tc>
        <w:tc>
          <w:tcPr>
            <w:tcW w:w="1858" w:type="dxa"/>
          </w:tcPr>
          <w:p w14:paraId="11835D9C">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7230C98B">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迷你无线麦克风 一拖四（含充电盒）【苹果 + 安卓 + 相机】，拾音距离≥3m</w:t>
            </w:r>
          </w:p>
        </w:tc>
        <w:tc>
          <w:tcPr>
            <w:tcW w:w="822" w:type="dxa"/>
          </w:tcPr>
          <w:p w14:paraId="2FDAD942">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01B26D3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1.00</w:t>
            </w:r>
          </w:p>
        </w:tc>
        <w:tc>
          <w:tcPr>
            <w:tcW w:w="1157" w:type="dxa"/>
          </w:tcPr>
          <w:p w14:paraId="409F25CC">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6C0E41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138E90D8">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55</w:t>
            </w:r>
          </w:p>
        </w:tc>
        <w:tc>
          <w:tcPr>
            <w:tcW w:w="1858" w:type="dxa"/>
          </w:tcPr>
          <w:p w14:paraId="04E0FA90">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5B5F193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一英寸口袋云台相机 +128G内存卡，相机分辨率 3840×2160，帧率60fps，支持防抖、自动对焦功能，内存卡读写速度≥100MB/s</w:t>
            </w:r>
          </w:p>
        </w:tc>
        <w:tc>
          <w:tcPr>
            <w:tcW w:w="822" w:type="dxa"/>
          </w:tcPr>
          <w:p w14:paraId="44EF699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529DA708">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1880F659">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492F81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536B6939">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56</w:t>
            </w:r>
          </w:p>
        </w:tc>
        <w:tc>
          <w:tcPr>
            <w:tcW w:w="1858" w:type="dxa"/>
          </w:tcPr>
          <w:p w14:paraId="2C816268">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57E96F6D">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无人机，三电池，128G 4K 高速卡，无人机最大飞行时间≥30 分钟，最大控制距离≥5km，支持 4K@60fps视频拍摄，内存卡读写速度≥100MB/s</w:t>
            </w:r>
          </w:p>
        </w:tc>
        <w:tc>
          <w:tcPr>
            <w:tcW w:w="822" w:type="dxa"/>
          </w:tcPr>
          <w:p w14:paraId="466717D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50D81E9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2C864017">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0D7714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4BA2373F">
            <w:pPr>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57</w:t>
            </w:r>
          </w:p>
        </w:tc>
        <w:tc>
          <w:tcPr>
            <w:tcW w:w="1858" w:type="dxa"/>
          </w:tcPr>
          <w:p w14:paraId="1F81FC81">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48BA6889">
            <w:pPr>
              <w:spacing w:after="0" w:line="36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运动相机，128G 高速内存卡，相机分辨率 3840×2160，帧率 60fps，支持防水、防抖功能，内存卡读写速度≥100MB/s</w:t>
            </w:r>
          </w:p>
        </w:tc>
        <w:tc>
          <w:tcPr>
            <w:tcW w:w="822" w:type="dxa"/>
          </w:tcPr>
          <w:p w14:paraId="4DA747EA">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73B814D6">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3B09B150">
            <w:pPr>
              <w:spacing w:after="0" w:line="36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7A36B4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0DCEE5AE">
            <w:pPr>
              <w:spacing w:after="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58</w:t>
            </w:r>
          </w:p>
        </w:tc>
        <w:tc>
          <w:tcPr>
            <w:tcW w:w="1858" w:type="dxa"/>
          </w:tcPr>
          <w:p w14:paraId="353C3AC7">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2ED632F7">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运动相机磁吸头带，材质为弹性布料 + 磁吸模块，适配运动相机，佩戴舒适，磁吸牢固</w:t>
            </w:r>
          </w:p>
        </w:tc>
        <w:tc>
          <w:tcPr>
            <w:tcW w:w="822" w:type="dxa"/>
          </w:tcPr>
          <w:p w14:paraId="55C7857A">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532029F1">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101B3FFA">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6D0990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6C6D69B3">
            <w:pPr>
              <w:spacing w:after="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59</w:t>
            </w:r>
          </w:p>
        </w:tc>
        <w:tc>
          <w:tcPr>
            <w:tcW w:w="1858" w:type="dxa"/>
          </w:tcPr>
          <w:p w14:paraId="4E9FE64B">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65FB8583">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运动相机挂脖支架，材质为不锈钢 + 硅胶，适配运动相机，佩戴舒适，承重≥500g</w:t>
            </w:r>
          </w:p>
        </w:tc>
        <w:tc>
          <w:tcPr>
            <w:tcW w:w="822" w:type="dxa"/>
          </w:tcPr>
          <w:p w14:paraId="23E3CD59">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3D1C2222">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4FBE5439">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2B5DE5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0C7C56A1">
            <w:pPr>
              <w:spacing w:after="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60</w:t>
            </w:r>
          </w:p>
        </w:tc>
        <w:tc>
          <w:tcPr>
            <w:tcW w:w="1858" w:type="dxa"/>
          </w:tcPr>
          <w:p w14:paraId="1EF5B218">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1F43A183">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自带线 20000 毫安时移动电源 55W 快充充电宝，容量 20000mAh，快充功率 55W，支持 USB-C、USB-A接口，带数字显示屏显示剩余电量</w:t>
            </w:r>
          </w:p>
        </w:tc>
        <w:tc>
          <w:tcPr>
            <w:tcW w:w="822" w:type="dxa"/>
          </w:tcPr>
          <w:p w14:paraId="1F660A3A">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台</w:t>
            </w:r>
          </w:p>
        </w:tc>
        <w:tc>
          <w:tcPr>
            <w:tcW w:w="971" w:type="dxa"/>
          </w:tcPr>
          <w:p w14:paraId="35FFA17D">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269B84A5">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02597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tcPr>
          <w:p w14:paraId="2787949A">
            <w:pPr>
              <w:spacing w:after="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b w:val="0"/>
                <w:color w:val="auto"/>
                <w:sz w:val="21"/>
                <w:szCs w:val="21"/>
                <w:highlight w:val="none"/>
                <w:lang w:val="en-US" w:eastAsia="zh-CN"/>
              </w:rPr>
              <w:t>61</w:t>
            </w:r>
          </w:p>
        </w:tc>
        <w:tc>
          <w:tcPr>
            <w:tcW w:w="1858" w:type="dxa"/>
          </w:tcPr>
          <w:p w14:paraId="24B76A45">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直播间设备</w:t>
            </w:r>
          </w:p>
        </w:tc>
        <w:tc>
          <w:tcPr>
            <w:tcW w:w="3164" w:type="dxa"/>
          </w:tcPr>
          <w:p w14:paraId="19E11AA0">
            <w:pPr>
              <w:spacing w:after="0" w:line="240" w:lineRule="auto"/>
              <w:jc w:val="left"/>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65W 充电器 + 1.5 米 C-C 磁吸编织数据线，充电器输出功率 65W，支持 PD、QC 快充协议；数据线为编织材质，长度1.5米，磁吸接口牢固，支持 5A 大电流</w:t>
            </w:r>
          </w:p>
        </w:tc>
        <w:tc>
          <w:tcPr>
            <w:tcW w:w="822" w:type="dxa"/>
          </w:tcPr>
          <w:p w14:paraId="6621FAC8">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项</w:t>
            </w:r>
          </w:p>
        </w:tc>
        <w:tc>
          <w:tcPr>
            <w:tcW w:w="971" w:type="dxa"/>
          </w:tcPr>
          <w:p w14:paraId="5F6F18BA">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2.00</w:t>
            </w:r>
          </w:p>
        </w:tc>
        <w:tc>
          <w:tcPr>
            <w:tcW w:w="1157" w:type="dxa"/>
          </w:tcPr>
          <w:p w14:paraId="55387D24">
            <w:pPr>
              <w:spacing w:after="0" w:line="240" w:lineRule="auto"/>
              <w:jc w:val="center"/>
              <w:rPr>
                <w:rFonts w:hint="eastAsia" w:ascii="宋体" w:hAnsi="宋体" w:eastAsia="宋体" w:cs="宋体"/>
                <w:color w:val="auto"/>
                <w:sz w:val="21"/>
                <w:szCs w:val="21"/>
                <w:highlight w:val="none"/>
              </w:rPr>
            </w:pPr>
            <w:r>
              <w:rPr>
                <w:rFonts w:hint="eastAsia" w:ascii="宋体" w:hAnsi="宋体" w:eastAsia="宋体" w:cs="宋体"/>
                <w:b w:val="0"/>
                <w:color w:val="auto"/>
                <w:sz w:val="21"/>
                <w:szCs w:val="21"/>
                <w:highlight w:val="none"/>
              </w:rPr>
              <w:t>设施设备采购</w:t>
            </w:r>
          </w:p>
        </w:tc>
      </w:tr>
      <w:tr w14:paraId="2560C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884" w:type="dxa"/>
            <w:vAlign w:val="center"/>
          </w:tcPr>
          <w:p w14:paraId="15FA0B31">
            <w:pPr>
              <w:keepNext w:val="0"/>
              <w:keepLines w:val="0"/>
              <w:widowControl/>
              <w:suppressLineNumbers w:val="0"/>
              <w:jc w:val="center"/>
              <w:textAlignment w:val="center"/>
              <w:rPr>
                <w:rFonts w:hint="eastAsia" w:ascii="宋体" w:hAnsi="宋体" w:eastAsia="宋体" w:cs="宋体"/>
                <w:b w:val="0"/>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62</w:t>
            </w:r>
          </w:p>
        </w:tc>
        <w:tc>
          <w:tcPr>
            <w:tcW w:w="1858" w:type="dxa"/>
            <w:vAlign w:val="center"/>
          </w:tcPr>
          <w:p w14:paraId="7A61ACA8">
            <w:pPr>
              <w:keepNext w:val="0"/>
              <w:keepLines w:val="0"/>
              <w:widowControl/>
              <w:suppressLineNumbers w:val="0"/>
              <w:jc w:val="left"/>
              <w:textAlignment w:val="center"/>
              <w:rPr>
                <w:rFonts w:hint="eastAsia" w:ascii="宋体" w:hAnsi="宋体" w:eastAsia="宋体" w:cs="宋体"/>
                <w:b w:val="0"/>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直播间设备</w:t>
            </w:r>
          </w:p>
        </w:tc>
        <w:tc>
          <w:tcPr>
            <w:tcW w:w="3164" w:type="dxa"/>
            <w:vAlign w:val="center"/>
          </w:tcPr>
          <w:p w14:paraId="1C451707">
            <w:pPr>
              <w:keepNext w:val="0"/>
              <w:keepLines w:val="0"/>
              <w:widowControl/>
              <w:suppressLineNumbers w:val="0"/>
              <w:jc w:val="left"/>
              <w:textAlignment w:val="center"/>
              <w:rPr>
                <w:rFonts w:hint="eastAsia" w:ascii="宋体" w:hAnsi="宋体" w:eastAsia="宋体" w:cs="宋体"/>
                <w:b w:val="0"/>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移动硬盘，USB3.0移动硬盘 4TB</w:t>
            </w:r>
          </w:p>
        </w:tc>
        <w:tc>
          <w:tcPr>
            <w:tcW w:w="822" w:type="dxa"/>
            <w:vAlign w:val="center"/>
          </w:tcPr>
          <w:p w14:paraId="1CF9A44E">
            <w:pPr>
              <w:keepNext w:val="0"/>
              <w:keepLines w:val="0"/>
              <w:widowControl/>
              <w:suppressLineNumbers w:val="0"/>
              <w:jc w:val="center"/>
              <w:textAlignment w:val="center"/>
              <w:rPr>
                <w:rFonts w:hint="eastAsia" w:ascii="宋体" w:hAnsi="宋体" w:eastAsia="宋体" w:cs="宋体"/>
                <w:b w:val="0"/>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个</w:t>
            </w:r>
          </w:p>
        </w:tc>
        <w:tc>
          <w:tcPr>
            <w:tcW w:w="971" w:type="dxa"/>
            <w:vAlign w:val="center"/>
          </w:tcPr>
          <w:p w14:paraId="42778F48">
            <w:pPr>
              <w:keepNext w:val="0"/>
              <w:keepLines w:val="0"/>
              <w:widowControl/>
              <w:suppressLineNumbers w:val="0"/>
              <w:jc w:val="center"/>
              <w:textAlignment w:val="center"/>
              <w:rPr>
                <w:rFonts w:hint="eastAsia" w:ascii="宋体" w:hAnsi="宋体" w:eastAsia="宋体" w:cs="宋体"/>
                <w:b w:val="0"/>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 xml:space="preserve"> 2.00 </w:t>
            </w:r>
          </w:p>
        </w:tc>
        <w:tc>
          <w:tcPr>
            <w:tcW w:w="1157" w:type="dxa"/>
            <w:vAlign w:val="center"/>
          </w:tcPr>
          <w:p w14:paraId="11C987BD">
            <w:pPr>
              <w:keepNext w:val="0"/>
              <w:keepLines w:val="0"/>
              <w:widowControl/>
              <w:suppressLineNumbers w:val="0"/>
              <w:jc w:val="center"/>
              <w:textAlignment w:val="center"/>
              <w:rPr>
                <w:rFonts w:hint="eastAsia" w:ascii="宋体" w:hAnsi="宋体" w:eastAsia="宋体" w:cs="宋体"/>
                <w:b w:val="0"/>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 xml:space="preserve"> 设施设备采购 </w:t>
            </w:r>
          </w:p>
        </w:tc>
      </w:tr>
    </w:tbl>
    <w:p w14:paraId="09B43AD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28"/>
          <w:szCs w:val="28"/>
          <w:highlight w:val="none"/>
        </w:rPr>
      </w:pPr>
    </w:p>
    <w:p w14:paraId="40E516A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28"/>
          <w:szCs w:val="28"/>
          <w:highlight w:val="none"/>
        </w:rPr>
      </w:pPr>
    </w:p>
    <w:p w14:paraId="2A367F1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第三章 投标人须知</w:t>
      </w:r>
    </w:p>
    <w:p w14:paraId="1A1716A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投标人必须认真阅读招标文件中所有的事项、格式、条款和采购需求等。投标人没有按照招标文件要求提交全部资料，或者投标文件没有对招标文件在各方面都做出实质性响应的可能导致其投标无效或被拒绝。</w:t>
      </w:r>
    </w:p>
    <w:p w14:paraId="2781B8C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一、名词解释</w:t>
      </w:r>
    </w:p>
    <w:p w14:paraId="32277ED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1.采购代理机构：本项目是指</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，负责整个采购活动的组织，依法负责编制和发布招标文件，对招标文件拥有最终的解释权，不以任何身份出任评标委员会成员。</w:t>
      </w:r>
    </w:p>
    <w:p w14:paraId="0AA3F1E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2.采购人：本项目是指</w:t>
      </w:r>
      <w:r>
        <w:rPr>
          <w:rFonts w:hint="eastAsia" w:ascii="宋体" w:hAnsi="宋体" w:eastAsia="宋体" w:cs="宋体"/>
          <w:color w:val="auto"/>
          <w:sz w:val="21"/>
          <w:szCs w:val="21"/>
          <w:highlight w:val="none"/>
          <w:lang w:eastAsia="zh-CN"/>
        </w:rPr>
        <w:t>阳江市妇幼保健院</w:t>
      </w:r>
      <w:r>
        <w:rPr>
          <w:rFonts w:hint="eastAsia" w:ascii="宋体" w:hAnsi="宋体" w:eastAsia="宋体" w:cs="宋体"/>
          <w:color w:val="auto"/>
          <w:sz w:val="21"/>
          <w:szCs w:val="21"/>
          <w:highlight w:val="none"/>
        </w:rPr>
        <w:t>，是采购活动当事人之一，负责项目的整体规划、技术方案可行性设计论证与实施，作为合同采购方（用户）的主体承担质疑回复、履行合同、验收与评价等义务。</w:t>
      </w:r>
    </w:p>
    <w:p w14:paraId="7FB6F8C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3.投标人：是指在</w:t>
      </w:r>
      <w:r>
        <w:rPr>
          <w:rFonts w:hint="eastAsia" w:ascii="宋体" w:hAnsi="宋体" w:eastAsia="宋体" w:cs="宋体"/>
          <w:color w:val="auto"/>
          <w:sz w:val="21"/>
          <w:szCs w:val="21"/>
          <w:highlight w:val="none"/>
          <w:lang w:val="en-US" w:eastAsia="zh-CN"/>
        </w:rPr>
        <w:t>完</w:t>
      </w:r>
      <w:r>
        <w:rPr>
          <w:rFonts w:hint="eastAsia" w:ascii="宋体" w:hAnsi="宋体" w:eastAsia="宋体" w:cs="宋体"/>
          <w:color w:val="auto"/>
          <w:sz w:val="21"/>
          <w:szCs w:val="21"/>
          <w:highlight w:val="none"/>
        </w:rPr>
        <w:t>成本项目投标登记并提交投标文件的供应商。</w:t>
      </w:r>
    </w:p>
    <w:p w14:paraId="315863E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4.“评标委员会”是指</w:t>
      </w:r>
      <w:r>
        <w:rPr>
          <w:rFonts w:hint="eastAsia" w:ascii="宋体" w:hAnsi="宋体" w:eastAsia="宋体" w:cs="宋体"/>
          <w:color w:val="auto"/>
          <w:sz w:val="21"/>
          <w:szCs w:val="21"/>
          <w:highlight w:val="none"/>
          <w:lang w:val="en-US" w:eastAsia="zh-CN"/>
        </w:rPr>
        <w:t>参考</w:t>
      </w:r>
      <w:r>
        <w:rPr>
          <w:rFonts w:hint="eastAsia" w:ascii="宋体" w:hAnsi="宋体" w:eastAsia="宋体" w:cs="宋体"/>
          <w:color w:val="auto"/>
          <w:sz w:val="21"/>
          <w:szCs w:val="21"/>
          <w:highlight w:val="none"/>
        </w:rPr>
        <w:t>《中华人民共和国政府采购法》等法律法规规定</w:t>
      </w:r>
      <w:r>
        <w:rPr>
          <w:rFonts w:hint="eastAsia" w:ascii="宋体" w:hAnsi="宋体" w:eastAsia="宋体" w:cs="宋体"/>
          <w:color w:val="auto"/>
          <w:sz w:val="21"/>
          <w:szCs w:val="21"/>
          <w:highlight w:val="none"/>
          <w:lang w:val="en-US" w:eastAsia="zh-CN"/>
        </w:rPr>
        <w:t>的</w:t>
      </w:r>
      <w:r>
        <w:rPr>
          <w:rFonts w:hint="eastAsia" w:ascii="宋体" w:hAnsi="宋体" w:eastAsia="宋体" w:cs="宋体"/>
          <w:color w:val="auto"/>
          <w:sz w:val="21"/>
          <w:szCs w:val="21"/>
          <w:highlight w:val="none"/>
        </w:rPr>
        <w:t>有关专家组成以确定中标供应商或者推荐中标候选人的临时组织。</w:t>
      </w:r>
    </w:p>
    <w:p w14:paraId="5D872EA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5.“中标供应商”是指经评标委员会评审确定的对招标文件做出实质性响应，经采购人按照规定在评标委员会推荐的中标候选人中确定的或评标委员会受采购人委托直接确认的投标人。</w:t>
      </w:r>
    </w:p>
    <w:p w14:paraId="2ECF858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6.招标文件：是指包括招标公告和招标文件及其补充、变更和澄清等一系列文件。</w:t>
      </w:r>
    </w:p>
    <w:p w14:paraId="0EAEECF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7.投标文件：是投标人按照招标文件中提供的投标文件格式编制投标文件</w:t>
      </w:r>
      <w:r>
        <w:rPr>
          <w:rFonts w:hint="eastAsia" w:ascii="宋体" w:hAnsi="宋体" w:eastAsia="宋体" w:cs="宋体"/>
          <w:color w:val="auto"/>
          <w:sz w:val="21"/>
          <w:szCs w:val="21"/>
          <w:highlight w:val="none"/>
          <w:lang w:eastAsia="zh-CN"/>
        </w:rPr>
        <w:t>。</w:t>
      </w:r>
    </w:p>
    <w:p w14:paraId="37B388C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lang w:val="en-US" w:eastAsia="zh-CN"/>
        </w:rPr>
        <w:t>8</w:t>
      </w:r>
      <w:r>
        <w:rPr>
          <w:rFonts w:hint="eastAsia" w:ascii="宋体" w:hAnsi="宋体" w:eastAsia="宋体" w:cs="宋体"/>
          <w:color w:val="auto"/>
          <w:sz w:val="21"/>
          <w:szCs w:val="21"/>
          <w:highlight w:val="none"/>
        </w:rPr>
        <w:t>.日期、天数、时间：未有特别说明时，均为公历日（天）及北京时间。</w:t>
      </w:r>
    </w:p>
    <w:p w14:paraId="0298AE4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二、须知前附表</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649"/>
        <w:gridCol w:w="1750"/>
        <w:gridCol w:w="3007"/>
        <w:gridCol w:w="3665"/>
      </w:tblGrid>
      <w:tr w14:paraId="6FF7F8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9071" w:type="dxa"/>
            <w:gridSpan w:val="4"/>
            <w:vAlign w:val="center"/>
          </w:tcPr>
          <w:p w14:paraId="15B920AA">
            <w:pPr>
              <w:pStyle w:val="174"/>
              <w:keepNext w:val="0"/>
              <w:keepLines w:val="0"/>
              <w:pageBreakBefore w:val="0"/>
              <w:widowControl/>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本表与招标文件对应章节的内容若不一致，以本表为准。</w:t>
            </w:r>
          </w:p>
        </w:tc>
      </w:tr>
      <w:tr w14:paraId="7F3173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C4967C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750" w:type="dxa"/>
            <w:vAlign w:val="center"/>
          </w:tcPr>
          <w:p w14:paraId="003D0818">
            <w:pPr>
              <w:pStyle w:val="174"/>
              <w:keepNext w:val="0"/>
              <w:keepLines w:val="0"/>
              <w:pageBreakBefore w:val="0"/>
              <w:widowControl/>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条款名称</w:t>
            </w:r>
          </w:p>
        </w:tc>
        <w:tc>
          <w:tcPr>
            <w:tcW w:w="6672" w:type="dxa"/>
            <w:gridSpan w:val="2"/>
            <w:vAlign w:val="center"/>
          </w:tcPr>
          <w:p w14:paraId="4A25C70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内容及要求</w:t>
            </w:r>
          </w:p>
        </w:tc>
      </w:tr>
      <w:tr w14:paraId="64BC7F7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95A91D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750" w:type="dxa"/>
            <w:vAlign w:val="center"/>
          </w:tcPr>
          <w:p w14:paraId="7498AAA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采购包情况</w:t>
            </w:r>
          </w:p>
        </w:tc>
        <w:tc>
          <w:tcPr>
            <w:tcW w:w="6672" w:type="dxa"/>
            <w:gridSpan w:val="2"/>
            <w:vAlign w:val="center"/>
          </w:tcPr>
          <w:p w14:paraId="56B2386E">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本项目共1个采购包</w:t>
            </w:r>
          </w:p>
        </w:tc>
      </w:tr>
      <w:tr w14:paraId="48EDDE6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0E0046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750" w:type="dxa"/>
            <w:vAlign w:val="center"/>
          </w:tcPr>
          <w:p w14:paraId="0A6624D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开标方式</w:t>
            </w:r>
          </w:p>
        </w:tc>
        <w:tc>
          <w:tcPr>
            <w:tcW w:w="6672" w:type="dxa"/>
            <w:gridSpan w:val="2"/>
            <w:vAlign w:val="center"/>
          </w:tcPr>
          <w:p w14:paraId="296CBE08">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线下现场</w:t>
            </w:r>
            <w:r>
              <w:rPr>
                <w:rFonts w:hint="eastAsia" w:ascii="宋体" w:hAnsi="宋体" w:eastAsia="宋体" w:cs="宋体"/>
                <w:color w:val="auto"/>
                <w:sz w:val="21"/>
                <w:szCs w:val="21"/>
                <w:highlight w:val="none"/>
              </w:rPr>
              <w:t>开标</w:t>
            </w:r>
          </w:p>
        </w:tc>
      </w:tr>
      <w:tr w14:paraId="4E6AFA9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6032C7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750" w:type="dxa"/>
            <w:vAlign w:val="center"/>
          </w:tcPr>
          <w:p w14:paraId="18B23CD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评标方式</w:t>
            </w:r>
          </w:p>
        </w:tc>
        <w:tc>
          <w:tcPr>
            <w:tcW w:w="6672" w:type="dxa"/>
            <w:gridSpan w:val="2"/>
            <w:vAlign w:val="center"/>
          </w:tcPr>
          <w:p w14:paraId="2BADFC6B">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w:t>
            </w:r>
            <w:r>
              <w:rPr>
                <w:rFonts w:hint="eastAsia" w:ascii="宋体" w:hAnsi="宋体" w:eastAsia="宋体" w:cs="宋体"/>
                <w:color w:val="auto"/>
                <w:sz w:val="21"/>
                <w:szCs w:val="21"/>
                <w:highlight w:val="none"/>
                <w:lang w:val="en-US" w:eastAsia="zh-CN"/>
              </w:rPr>
              <w:t>纸质</w:t>
            </w:r>
            <w:r>
              <w:rPr>
                <w:rFonts w:hint="eastAsia" w:ascii="宋体" w:hAnsi="宋体" w:eastAsia="宋体" w:cs="宋体"/>
                <w:color w:val="auto"/>
                <w:sz w:val="21"/>
                <w:szCs w:val="21"/>
                <w:highlight w:val="none"/>
              </w:rPr>
              <w:t>评标 （供应商应当审慎标记各评审项的应答部分，标记内容清晰且完整，否则将自行承担不利后果）</w:t>
            </w:r>
          </w:p>
        </w:tc>
      </w:tr>
      <w:tr w14:paraId="35ECFB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387AB6E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750" w:type="dxa"/>
            <w:vAlign w:val="center"/>
          </w:tcPr>
          <w:p w14:paraId="112B1307">
            <w:pPr>
              <w:pStyle w:val="174"/>
              <w:keepNext w:val="0"/>
              <w:keepLines w:val="0"/>
              <w:pageBreakBefore w:val="0"/>
              <w:shd w:val="clear"/>
              <w:kinsoku/>
              <w:wordWrap/>
              <w:overflowPunct/>
              <w:topLinePunct w:val="0"/>
              <w:autoSpaceDE/>
              <w:autoSpaceDN/>
              <w:bidi w:val="0"/>
              <w:adjustRightInd/>
              <w:snapToGrid/>
              <w:spacing w:line="360" w:lineRule="auto"/>
              <w:ind w:firstLine="210" w:firstLineChars="1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评标办法</w:t>
            </w:r>
          </w:p>
        </w:tc>
        <w:tc>
          <w:tcPr>
            <w:tcW w:w="6672" w:type="dxa"/>
            <w:gridSpan w:val="2"/>
            <w:vAlign w:val="center"/>
          </w:tcPr>
          <w:p w14:paraId="683C7435">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采购包1：综合评分法</w:t>
            </w:r>
          </w:p>
        </w:tc>
      </w:tr>
      <w:tr w14:paraId="74F2941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4D20D9A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750" w:type="dxa"/>
            <w:vAlign w:val="center"/>
          </w:tcPr>
          <w:p w14:paraId="72F6F03B">
            <w:pPr>
              <w:pStyle w:val="174"/>
              <w:keepNext w:val="0"/>
              <w:keepLines w:val="0"/>
              <w:pageBreakBefore w:val="0"/>
              <w:shd w:val="clear"/>
              <w:kinsoku/>
              <w:wordWrap/>
              <w:overflowPunct/>
              <w:topLinePunct w:val="0"/>
              <w:autoSpaceDE/>
              <w:autoSpaceDN/>
              <w:bidi w:val="0"/>
              <w:adjustRightInd/>
              <w:snapToGrid/>
              <w:spacing w:line="360" w:lineRule="auto"/>
              <w:ind w:firstLine="210" w:firstLineChars="1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报价形式</w:t>
            </w:r>
          </w:p>
        </w:tc>
        <w:tc>
          <w:tcPr>
            <w:tcW w:w="6672" w:type="dxa"/>
            <w:gridSpan w:val="2"/>
            <w:vAlign w:val="center"/>
          </w:tcPr>
          <w:p w14:paraId="0A7693CE">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val="en-US" w:eastAsia="zh-CN"/>
              </w:rPr>
              <w:t>总价</w:t>
            </w:r>
          </w:p>
        </w:tc>
      </w:tr>
      <w:tr w14:paraId="75547A5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2D5D1E4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750" w:type="dxa"/>
            <w:vAlign w:val="center"/>
          </w:tcPr>
          <w:p w14:paraId="27D0D673">
            <w:pPr>
              <w:pStyle w:val="174"/>
              <w:keepNext w:val="0"/>
              <w:keepLines w:val="0"/>
              <w:pageBreakBefore w:val="0"/>
              <w:shd w:val="clear"/>
              <w:kinsoku/>
              <w:wordWrap/>
              <w:overflowPunct/>
              <w:topLinePunct w:val="0"/>
              <w:autoSpaceDE/>
              <w:autoSpaceDN/>
              <w:bidi w:val="0"/>
              <w:adjustRightInd/>
              <w:snapToGrid/>
              <w:spacing w:line="360" w:lineRule="auto"/>
              <w:ind w:firstLine="210" w:firstLineChars="100"/>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报价要求</w:t>
            </w:r>
          </w:p>
        </w:tc>
        <w:tc>
          <w:tcPr>
            <w:tcW w:w="6672" w:type="dxa"/>
            <w:gridSpan w:val="2"/>
            <w:vAlign w:val="center"/>
          </w:tcPr>
          <w:p w14:paraId="5A1E9FE6">
            <w:pPr>
              <w:pStyle w:val="174"/>
              <w:keepNext w:val="0"/>
              <w:keepLines w:val="0"/>
              <w:pageBreakBefore w:val="0"/>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投标人报价不得超出项目采购预算</w:t>
            </w:r>
          </w:p>
        </w:tc>
      </w:tr>
      <w:tr w14:paraId="1960C9B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7A8CBD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750" w:type="dxa"/>
            <w:vAlign w:val="center"/>
          </w:tcPr>
          <w:p w14:paraId="3BFFC81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现场踏勘</w:t>
            </w:r>
          </w:p>
        </w:tc>
        <w:tc>
          <w:tcPr>
            <w:tcW w:w="6672" w:type="dxa"/>
            <w:gridSpan w:val="2"/>
            <w:vAlign w:val="center"/>
          </w:tcPr>
          <w:p w14:paraId="724780C0">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否</w:t>
            </w:r>
          </w:p>
        </w:tc>
      </w:tr>
      <w:tr w14:paraId="011B2E8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08EA38B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750" w:type="dxa"/>
            <w:vAlign w:val="center"/>
          </w:tcPr>
          <w:p w14:paraId="08A4DE1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6672" w:type="dxa"/>
            <w:gridSpan w:val="2"/>
            <w:vAlign w:val="center"/>
          </w:tcPr>
          <w:p w14:paraId="7A692F2C">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从提交投标（响应）文件的截止之日起90日历天</w:t>
            </w:r>
          </w:p>
        </w:tc>
      </w:tr>
      <w:tr w14:paraId="165429E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590DF7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750" w:type="dxa"/>
            <w:vAlign w:val="center"/>
          </w:tcPr>
          <w:p w14:paraId="0F4F6BF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投标保证金</w:t>
            </w:r>
          </w:p>
        </w:tc>
        <w:tc>
          <w:tcPr>
            <w:tcW w:w="6672" w:type="dxa"/>
            <w:gridSpan w:val="2"/>
            <w:vAlign w:val="center"/>
          </w:tcPr>
          <w:p w14:paraId="02137018">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不收取投标（响应）保证金</w:t>
            </w:r>
          </w:p>
        </w:tc>
      </w:tr>
      <w:tr w14:paraId="7AF0363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53D713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1750" w:type="dxa"/>
            <w:vAlign w:val="center"/>
          </w:tcPr>
          <w:p w14:paraId="60A91E1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投标文件要求</w:t>
            </w:r>
          </w:p>
        </w:tc>
        <w:tc>
          <w:tcPr>
            <w:tcW w:w="6672" w:type="dxa"/>
            <w:gridSpan w:val="2"/>
            <w:vAlign w:val="center"/>
          </w:tcPr>
          <w:p w14:paraId="275C9C02">
            <w:pPr>
              <w:pStyle w:val="174"/>
              <w:keepNext w:val="0"/>
              <w:keepLines w:val="0"/>
              <w:pageBreakBefore w:val="0"/>
              <w:shd w:val="clea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共提供</w:t>
            </w: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份投标资料，分别封装：</w:t>
            </w:r>
          </w:p>
          <w:p w14:paraId="2771726B">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lang w:val="en-US" w:eastAsia="zh-CN"/>
              </w:rPr>
              <w:t>1.投标</w:t>
            </w:r>
            <w:r>
              <w:rPr>
                <w:rFonts w:hint="eastAsia" w:ascii="宋体" w:hAnsi="宋体" w:eastAsia="宋体" w:cs="宋体"/>
                <w:b/>
                <w:bCs/>
                <w:color w:val="auto"/>
                <w:sz w:val="21"/>
                <w:szCs w:val="21"/>
                <w:highlight w:val="none"/>
              </w:rPr>
              <w:t>文件</w:t>
            </w:r>
            <w:r>
              <w:rPr>
                <w:rFonts w:hint="eastAsia" w:ascii="宋体" w:hAnsi="宋体" w:eastAsia="宋体" w:cs="宋体"/>
                <w:color w:val="auto"/>
                <w:sz w:val="21"/>
                <w:szCs w:val="21"/>
                <w:highlight w:val="none"/>
              </w:rPr>
              <w:t>（内含</w:t>
            </w:r>
            <w:r>
              <w:rPr>
                <w:rFonts w:hint="eastAsia" w:ascii="宋体" w:hAnsi="宋体" w:eastAsia="宋体" w:cs="宋体"/>
                <w:color w:val="auto"/>
                <w:sz w:val="21"/>
                <w:szCs w:val="21"/>
                <w:highlight w:val="none"/>
                <w:u w:val="single"/>
              </w:rPr>
              <w:t xml:space="preserve"> 1 </w:t>
            </w:r>
            <w:r>
              <w:rPr>
                <w:rFonts w:hint="eastAsia" w:ascii="宋体" w:hAnsi="宋体" w:eastAsia="宋体" w:cs="宋体"/>
                <w:color w:val="auto"/>
                <w:sz w:val="21"/>
                <w:szCs w:val="21"/>
                <w:highlight w:val="none"/>
              </w:rPr>
              <w:t>正</w:t>
            </w:r>
            <w:r>
              <w:rPr>
                <w:rFonts w:hint="eastAsia" w:ascii="宋体" w:hAnsi="宋体" w:eastAsia="宋体" w:cs="宋体"/>
                <w:color w:val="auto"/>
                <w:sz w:val="21"/>
                <w:szCs w:val="21"/>
                <w:highlight w:val="none"/>
                <w:u w:val="single"/>
              </w:rPr>
              <w:t xml:space="preserve"> 4 </w:t>
            </w:r>
            <w:r>
              <w:rPr>
                <w:rFonts w:hint="eastAsia" w:ascii="宋体" w:hAnsi="宋体" w:eastAsia="宋体" w:cs="宋体"/>
                <w:color w:val="auto"/>
                <w:sz w:val="21"/>
                <w:szCs w:val="21"/>
                <w:highlight w:val="none"/>
              </w:rPr>
              <w:t>副，</w:t>
            </w:r>
            <w:r>
              <w:rPr>
                <w:rFonts w:hint="eastAsia" w:ascii="宋体" w:hAnsi="宋体" w:eastAsia="宋体" w:cs="宋体"/>
                <w:b/>
                <w:bCs/>
                <w:color w:val="auto"/>
                <w:sz w:val="21"/>
                <w:szCs w:val="21"/>
                <w:highlight w:val="none"/>
                <w:lang w:val="en-US" w:eastAsia="zh-CN"/>
              </w:rPr>
              <w:t>采用独立胶装方式装订成册，禁止采用活页装订</w:t>
            </w:r>
            <w:r>
              <w:rPr>
                <w:rFonts w:hint="eastAsia" w:ascii="宋体" w:hAnsi="宋体" w:eastAsia="宋体" w:cs="宋体"/>
                <w:b w:val="0"/>
                <w:bCs w:val="0"/>
                <w:color w:val="auto"/>
                <w:sz w:val="21"/>
                <w:szCs w:val="21"/>
                <w:highlight w:val="none"/>
              </w:rPr>
              <w:t>）</w:t>
            </w:r>
          </w:p>
          <w:p w14:paraId="36EDB187">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2.开标信封</w:t>
            </w:r>
            <w:r>
              <w:rPr>
                <w:rFonts w:hint="eastAsia" w:ascii="宋体" w:hAnsi="宋体" w:eastAsia="宋体" w:cs="宋体"/>
                <w:color w:val="auto"/>
                <w:sz w:val="21"/>
                <w:szCs w:val="21"/>
                <w:highlight w:val="none"/>
              </w:rPr>
              <w:t>（内含“开标一览表”、“分项报价表”、“法定代表人（负责人）证明书”和“法定代表人（负责人）授权书”）</w:t>
            </w:r>
          </w:p>
          <w:p w14:paraId="4BEAA755">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lang w:val="en-US" w:eastAsia="zh-CN"/>
              </w:rPr>
              <w:t>3.</w:t>
            </w:r>
            <w:r>
              <w:rPr>
                <w:rFonts w:hint="eastAsia" w:ascii="宋体" w:hAnsi="宋体" w:eastAsia="宋体" w:cs="宋体"/>
                <w:b/>
                <w:bCs/>
                <w:color w:val="auto"/>
                <w:sz w:val="21"/>
                <w:szCs w:val="21"/>
                <w:highlight w:val="none"/>
              </w:rPr>
              <w:t>投标文件电子版</w:t>
            </w:r>
            <w:r>
              <w:rPr>
                <w:rFonts w:hint="eastAsia" w:ascii="宋体" w:hAnsi="宋体" w:eastAsia="宋体" w:cs="宋体"/>
                <w:color w:val="auto"/>
                <w:sz w:val="21"/>
                <w:szCs w:val="21"/>
                <w:highlight w:val="none"/>
              </w:rPr>
              <w:t>（以U盘提供，内含PDF及可编辑的投标文件电子版1份，在封面上注明“公司名称-投标文件电子版”）</w:t>
            </w:r>
          </w:p>
          <w:p w14:paraId="1553D316">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p>
          <w:p w14:paraId="595EDBFD">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注：</w:t>
            </w:r>
          </w:p>
          <w:p w14:paraId="23851199">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1.</w:t>
            </w:r>
            <w:r>
              <w:rPr>
                <w:rFonts w:hint="eastAsia" w:ascii="宋体" w:hAnsi="宋体" w:eastAsia="宋体" w:cs="宋体"/>
                <w:b/>
                <w:color w:val="auto"/>
                <w:sz w:val="21"/>
                <w:szCs w:val="21"/>
                <w:highlight w:val="none"/>
              </w:rPr>
              <w:t>所有投标资料</w:t>
            </w:r>
            <w:r>
              <w:rPr>
                <w:rFonts w:hint="eastAsia" w:ascii="宋体" w:hAnsi="宋体" w:eastAsia="宋体" w:cs="宋体"/>
                <w:bCs/>
                <w:color w:val="auto"/>
                <w:sz w:val="21"/>
                <w:szCs w:val="21"/>
                <w:highlight w:val="none"/>
              </w:rPr>
              <w:t>分别密封在不透明的外层封装中，</w:t>
            </w:r>
            <w:r>
              <w:rPr>
                <w:rFonts w:hint="eastAsia" w:ascii="宋体" w:hAnsi="宋体" w:eastAsia="宋体" w:cs="宋体"/>
                <w:color w:val="auto"/>
                <w:sz w:val="21"/>
                <w:szCs w:val="21"/>
                <w:highlight w:val="none"/>
              </w:rPr>
              <w:t>封面需按招标文件封面格式要求标注并加盖公章。</w:t>
            </w:r>
          </w:p>
          <w:p w14:paraId="5AEEAC4F">
            <w:pPr>
              <w:pStyle w:val="174"/>
              <w:keepNext w:val="0"/>
              <w:keepLines w:val="0"/>
              <w:pageBreakBefore w:val="0"/>
              <w:numPr>
                <w:ilvl w:val="0"/>
                <w:numId w:val="0"/>
              </w:numPr>
              <w:shd w:val="clear"/>
              <w:kinsoku/>
              <w:wordWrap/>
              <w:overflowPunct/>
              <w:topLinePunct w:val="0"/>
              <w:autoSpaceDE/>
              <w:autoSpaceDN/>
              <w:bidi w:val="0"/>
              <w:adjustRightInd/>
              <w:snapToGrid/>
              <w:spacing w:line="320" w:lineRule="exact"/>
              <w:ind w:firstLine="0" w:firstLineChars="0"/>
              <w:jc w:val="left"/>
              <w:textAlignment w:val="auto"/>
              <w:rPr>
                <w:rFonts w:hint="eastAsia" w:ascii="宋体" w:hAnsi="宋体" w:eastAsia="宋体" w:cs="宋体"/>
                <w:bCs/>
                <w:color w:val="auto"/>
                <w:sz w:val="21"/>
                <w:szCs w:val="21"/>
                <w:highlight w:val="none"/>
                <w:lang w:eastAsia="zh-CN"/>
              </w:rPr>
            </w:pPr>
            <w:r>
              <w:rPr>
                <w:rFonts w:hint="eastAsia" w:ascii="宋体" w:hAnsi="宋体" w:eastAsia="宋体" w:cs="宋体"/>
                <w:bCs/>
                <w:color w:val="auto"/>
                <w:sz w:val="21"/>
                <w:szCs w:val="21"/>
                <w:highlight w:val="none"/>
                <w:lang w:val="en-US" w:eastAsia="zh-CN"/>
              </w:rPr>
              <w:t>2.</w:t>
            </w:r>
            <w:r>
              <w:rPr>
                <w:rFonts w:hint="eastAsia" w:ascii="宋体" w:hAnsi="宋体" w:eastAsia="宋体" w:cs="宋体"/>
                <w:bCs/>
                <w:color w:val="auto"/>
                <w:sz w:val="21"/>
                <w:szCs w:val="21"/>
                <w:highlight w:val="none"/>
              </w:rPr>
              <w:t>每一密封封装上均注明“于</w:t>
            </w:r>
            <w:r>
              <w:rPr>
                <w:rFonts w:hint="eastAsia" w:ascii="宋体" w:hAnsi="宋体" w:eastAsia="宋体" w:cs="宋体"/>
                <w:bCs/>
                <w:color w:val="auto"/>
                <w:sz w:val="21"/>
                <w:szCs w:val="21"/>
                <w:highlight w:val="none"/>
                <w:u w:val="single"/>
              </w:rPr>
              <w:t xml:space="preserve">     （投标截止时间）   </w:t>
            </w:r>
            <w:r>
              <w:rPr>
                <w:rFonts w:hint="eastAsia" w:ascii="宋体" w:hAnsi="宋体" w:eastAsia="宋体" w:cs="宋体"/>
                <w:bCs/>
                <w:color w:val="auto"/>
                <w:sz w:val="21"/>
                <w:szCs w:val="21"/>
                <w:highlight w:val="none"/>
              </w:rPr>
              <w:t>之前不准启封”的字样</w:t>
            </w:r>
            <w:r>
              <w:rPr>
                <w:rFonts w:hint="eastAsia" w:ascii="宋体" w:hAnsi="宋体" w:eastAsia="宋体" w:cs="宋体"/>
                <w:bCs/>
                <w:color w:val="auto"/>
                <w:sz w:val="21"/>
                <w:szCs w:val="21"/>
                <w:highlight w:val="none"/>
                <w:lang w:eastAsia="zh-CN"/>
              </w:rPr>
              <w:t>。</w:t>
            </w:r>
          </w:p>
          <w:p w14:paraId="5A8BBCC8">
            <w:pPr>
              <w:pStyle w:val="174"/>
              <w:keepNext w:val="0"/>
              <w:keepLines w:val="0"/>
              <w:pageBreakBefore w:val="0"/>
              <w:numPr>
                <w:ilvl w:val="0"/>
                <w:numId w:val="0"/>
              </w:numPr>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bCs/>
                <w:color w:val="auto"/>
                <w:highlight w:val="none"/>
                <w:lang w:val="en-US" w:eastAsia="zh-CN"/>
              </w:rPr>
            </w:pPr>
            <w:r>
              <w:rPr>
                <w:rFonts w:hint="eastAsia" w:ascii="宋体" w:hAnsi="宋体" w:eastAsia="宋体" w:cs="宋体"/>
                <w:bCs/>
                <w:color w:val="auto"/>
                <w:sz w:val="21"/>
                <w:szCs w:val="21"/>
                <w:highlight w:val="none"/>
                <w:lang w:val="en-US" w:eastAsia="zh-CN"/>
              </w:rPr>
              <w:t>3.</w:t>
            </w:r>
            <w:r>
              <w:rPr>
                <w:rFonts w:hint="eastAsia" w:ascii="宋体" w:hAnsi="宋体" w:eastAsia="宋体" w:cs="宋体"/>
                <w:bCs/>
                <w:color w:val="auto"/>
                <w:sz w:val="21"/>
                <w:szCs w:val="21"/>
                <w:highlight w:val="none"/>
              </w:rPr>
              <w:t>投标人未按上述规定对投标文件进行</w:t>
            </w:r>
            <w:r>
              <w:rPr>
                <w:rFonts w:hint="eastAsia" w:ascii="宋体" w:hAnsi="宋体" w:eastAsia="宋体" w:cs="宋体"/>
                <w:bCs/>
                <w:color w:val="auto"/>
                <w:sz w:val="21"/>
                <w:szCs w:val="21"/>
                <w:highlight w:val="none"/>
                <w:lang w:val="en-US" w:eastAsia="zh-CN"/>
              </w:rPr>
              <w:t>装订、</w:t>
            </w:r>
            <w:r>
              <w:rPr>
                <w:rFonts w:hint="eastAsia" w:ascii="宋体" w:hAnsi="宋体" w:eastAsia="宋体" w:cs="宋体"/>
                <w:bCs/>
                <w:color w:val="auto"/>
                <w:sz w:val="21"/>
                <w:szCs w:val="21"/>
                <w:highlight w:val="none"/>
              </w:rPr>
              <w:t>密封和加写标记，</w:t>
            </w:r>
            <w:r>
              <w:rPr>
                <w:rFonts w:hint="eastAsia" w:ascii="宋体" w:hAnsi="宋体" w:eastAsia="宋体" w:cs="宋体"/>
                <w:color w:val="auto"/>
                <w:sz w:val="21"/>
                <w:szCs w:val="21"/>
                <w:highlight w:val="none"/>
              </w:rPr>
              <w:t>代理采购机构有权予以拒收，并退回给投标人。电报、电话、传真</w:t>
            </w:r>
            <w:r>
              <w:rPr>
                <w:rFonts w:hint="eastAsia" w:ascii="宋体" w:hAnsi="宋体" w:eastAsia="宋体" w:cs="宋体"/>
                <w:bCs/>
                <w:color w:val="auto"/>
                <w:sz w:val="21"/>
                <w:szCs w:val="21"/>
                <w:highlight w:val="none"/>
              </w:rPr>
              <w:t>等非纸质形式</w:t>
            </w:r>
            <w:r>
              <w:rPr>
                <w:rFonts w:hint="eastAsia" w:ascii="宋体" w:hAnsi="宋体" w:eastAsia="宋体" w:cs="宋体"/>
                <w:color w:val="auto"/>
                <w:sz w:val="21"/>
                <w:szCs w:val="21"/>
                <w:highlight w:val="none"/>
              </w:rPr>
              <w:t>的投标概不接受</w:t>
            </w:r>
            <w:r>
              <w:rPr>
                <w:rFonts w:hint="eastAsia" w:ascii="宋体" w:hAnsi="宋体" w:eastAsia="宋体" w:cs="宋体"/>
                <w:bCs/>
                <w:color w:val="auto"/>
                <w:sz w:val="21"/>
                <w:szCs w:val="21"/>
                <w:highlight w:val="none"/>
              </w:rPr>
              <w:t>。</w:t>
            </w:r>
            <w:r>
              <w:rPr>
                <w:rFonts w:hint="eastAsia" w:ascii="宋体" w:hAnsi="宋体" w:eastAsia="宋体" w:cs="宋体"/>
                <w:b/>
                <w:bCs/>
                <w:color w:val="auto"/>
                <w:sz w:val="21"/>
                <w:szCs w:val="21"/>
                <w:highlight w:val="none"/>
              </w:rPr>
              <w:t>所有投标文件密封袋的封口处应加盖投标人公章或密封章。</w:t>
            </w:r>
          </w:p>
        </w:tc>
      </w:tr>
      <w:tr w14:paraId="633D8E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5E70461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11</w:t>
            </w:r>
          </w:p>
        </w:tc>
        <w:tc>
          <w:tcPr>
            <w:tcW w:w="1750" w:type="dxa"/>
            <w:vAlign w:val="center"/>
          </w:tcPr>
          <w:p w14:paraId="774CA95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中标候选供应商推荐家数</w:t>
            </w:r>
          </w:p>
        </w:tc>
        <w:tc>
          <w:tcPr>
            <w:tcW w:w="6672" w:type="dxa"/>
            <w:gridSpan w:val="2"/>
            <w:vAlign w:val="center"/>
          </w:tcPr>
          <w:p w14:paraId="3C0F950E">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家</w:t>
            </w:r>
          </w:p>
        </w:tc>
      </w:tr>
      <w:tr w14:paraId="4190457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D3BAF3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750" w:type="dxa"/>
            <w:vAlign w:val="center"/>
          </w:tcPr>
          <w:p w14:paraId="608621D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中标供应商数量</w:t>
            </w:r>
          </w:p>
        </w:tc>
        <w:tc>
          <w:tcPr>
            <w:tcW w:w="6672" w:type="dxa"/>
            <w:gridSpan w:val="2"/>
            <w:vAlign w:val="center"/>
          </w:tcPr>
          <w:p w14:paraId="0A5E5815">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采购包1：1家</w:t>
            </w:r>
          </w:p>
        </w:tc>
      </w:tr>
      <w:tr w14:paraId="6685B2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2DFF66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w:t>
            </w:r>
          </w:p>
        </w:tc>
        <w:tc>
          <w:tcPr>
            <w:tcW w:w="1750" w:type="dxa"/>
            <w:vAlign w:val="center"/>
          </w:tcPr>
          <w:p w14:paraId="10A83C2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有效供应商家数</w:t>
            </w:r>
          </w:p>
        </w:tc>
        <w:tc>
          <w:tcPr>
            <w:tcW w:w="6672" w:type="dxa"/>
            <w:gridSpan w:val="2"/>
            <w:vAlign w:val="center"/>
          </w:tcPr>
          <w:p w14:paraId="654237BB">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采购包1：3家</w:t>
            </w:r>
          </w:p>
          <w:p w14:paraId="23A4B970">
            <w:pPr>
              <w:pStyle w:val="174"/>
              <w:keepNext w:val="0"/>
              <w:keepLines w:val="0"/>
              <w:pageBreakBefore w:val="0"/>
              <w:shd w:val="clear"/>
              <w:kinsoku/>
              <w:wordWrap/>
              <w:overflowPunct/>
              <w:topLinePunct w:val="0"/>
              <w:autoSpaceDE/>
              <w:autoSpaceDN/>
              <w:bidi w:val="0"/>
              <w:adjustRightInd/>
              <w:snapToGrid/>
              <w:spacing w:line="360" w:lineRule="auto"/>
              <w:ind w:firstLine="48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此人数约定了开标与评标过程中的最低有效供应商家数，当家数不足时项目将不得开标、不得评标或直接废标。</w:t>
            </w:r>
          </w:p>
        </w:tc>
      </w:tr>
      <w:tr w14:paraId="13C5F84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1208D4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w:t>
            </w:r>
          </w:p>
        </w:tc>
        <w:tc>
          <w:tcPr>
            <w:tcW w:w="1750" w:type="dxa"/>
            <w:vAlign w:val="center"/>
          </w:tcPr>
          <w:p w14:paraId="431780E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项目兼投兼中（兼投不兼中）规则</w:t>
            </w:r>
          </w:p>
        </w:tc>
        <w:tc>
          <w:tcPr>
            <w:tcW w:w="6672" w:type="dxa"/>
            <w:gridSpan w:val="2"/>
            <w:vAlign w:val="center"/>
          </w:tcPr>
          <w:p w14:paraId="63240E2A">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w:t>
            </w:r>
          </w:p>
        </w:tc>
      </w:tr>
      <w:tr w14:paraId="201A674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5A5F4D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750" w:type="dxa"/>
            <w:vAlign w:val="center"/>
          </w:tcPr>
          <w:p w14:paraId="5C3C3DF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中标供应商确定方式</w:t>
            </w:r>
          </w:p>
        </w:tc>
        <w:tc>
          <w:tcPr>
            <w:tcW w:w="6672" w:type="dxa"/>
            <w:gridSpan w:val="2"/>
            <w:vAlign w:val="center"/>
          </w:tcPr>
          <w:p w14:paraId="357E563C">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采购人按照评审报告中推荐的成交候选人确定中标（成交）人。</w:t>
            </w:r>
          </w:p>
        </w:tc>
      </w:tr>
      <w:tr w14:paraId="61372C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AD6971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750" w:type="dxa"/>
            <w:vAlign w:val="center"/>
          </w:tcPr>
          <w:p w14:paraId="17A7FCB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w:t>
            </w:r>
          </w:p>
        </w:tc>
        <w:tc>
          <w:tcPr>
            <w:tcW w:w="6672" w:type="dxa"/>
            <w:gridSpan w:val="2"/>
            <w:vAlign w:val="center"/>
          </w:tcPr>
          <w:p w14:paraId="24BB4648">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收取。</w:t>
            </w:r>
          </w:p>
          <w:p w14:paraId="74AF1A7E">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采购机构代理服务收费标准：本次招标代理服务费以本项目中标金额为计算基数，计费标准</w:t>
            </w:r>
            <w:r>
              <w:rPr>
                <w:rFonts w:hint="eastAsia" w:ascii="宋体" w:hAnsi="宋体" w:eastAsia="宋体" w:cs="宋体"/>
                <w:color w:val="auto"/>
                <w:sz w:val="21"/>
                <w:szCs w:val="21"/>
                <w:highlight w:val="none"/>
                <w:lang w:val="en-US" w:eastAsia="zh-CN"/>
              </w:rPr>
              <w:t>参照</w:t>
            </w:r>
            <w:r>
              <w:rPr>
                <w:rFonts w:hint="eastAsia" w:ascii="宋体" w:hAnsi="宋体" w:eastAsia="宋体" w:cs="宋体"/>
                <w:color w:val="auto"/>
                <w:sz w:val="21"/>
                <w:szCs w:val="21"/>
                <w:highlight w:val="none"/>
              </w:rPr>
              <w:t>《招标代理服务收费管理暂行办法》（计价格〔2002〕1980 号）、《关于降低部分建设项目收费标准规范收费行为等有关问题的通知》（发改价格〔2011〕534 号）文件中</w:t>
            </w:r>
            <w:r>
              <w:rPr>
                <w:rFonts w:hint="eastAsia" w:ascii="宋体" w:hAnsi="宋体" w:eastAsia="宋体" w:cs="宋体"/>
                <w:color w:val="auto"/>
                <w:sz w:val="21"/>
                <w:szCs w:val="21"/>
                <w:highlight w:val="none"/>
                <w:lang w:val="en-US" w:eastAsia="zh-CN"/>
              </w:rPr>
              <w:t>服务类</w:t>
            </w:r>
            <w:r>
              <w:rPr>
                <w:rFonts w:hint="eastAsia" w:ascii="宋体" w:hAnsi="宋体" w:eastAsia="宋体" w:cs="宋体"/>
                <w:color w:val="auto"/>
                <w:sz w:val="21"/>
                <w:szCs w:val="21"/>
                <w:highlight w:val="none"/>
              </w:rPr>
              <w:t>项目对应的收费费率标准，采用差额定率累进计费方式分段累进计算招标代理服务费。</w:t>
            </w:r>
          </w:p>
          <w:p w14:paraId="59CC8D1A">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
                <w:bCs/>
                <w:color w:val="auto"/>
                <w:sz w:val="21"/>
                <w:szCs w:val="21"/>
                <w:highlight w:val="none"/>
              </w:rPr>
              <w:t>中标服务费由中标人在领取中标通知书前以银行转账方式一次性支付。</w:t>
            </w:r>
          </w:p>
        </w:tc>
      </w:tr>
      <w:tr w14:paraId="103519A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BCCF9C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17</w:t>
            </w:r>
          </w:p>
        </w:tc>
        <w:tc>
          <w:tcPr>
            <w:tcW w:w="1750" w:type="dxa"/>
            <w:vAlign w:val="center"/>
          </w:tcPr>
          <w:p w14:paraId="560D427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代理服务费收取方式</w:t>
            </w:r>
          </w:p>
        </w:tc>
        <w:tc>
          <w:tcPr>
            <w:tcW w:w="6672" w:type="dxa"/>
            <w:gridSpan w:val="2"/>
            <w:vAlign w:val="center"/>
          </w:tcPr>
          <w:p w14:paraId="390E0C2E">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向中标/成交供应商收取</w:t>
            </w:r>
          </w:p>
        </w:tc>
      </w:tr>
      <w:tr w14:paraId="604CAF9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176F238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18</w:t>
            </w:r>
          </w:p>
        </w:tc>
        <w:tc>
          <w:tcPr>
            <w:tcW w:w="1750" w:type="dxa"/>
            <w:vAlign w:val="center"/>
          </w:tcPr>
          <w:p w14:paraId="666C3ABA">
            <w:pPr>
              <w:shd w:val="clear"/>
              <w:spacing w:line="300" w:lineRule="exact"/>
              <w:jc w:val="cente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中标服务费</w:t>
            </w:r>
          </w:p>
          <w:p w14:paraId="1FC6D0E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szCs w:val="21"/>
                <w:highlight w:val="none"/>
              </w:rPr>
              <w:t>（以银行转账、电汇方式提交）</w:t>
            </w:r>
          </w:p>
        </w:tc>
        <w:tc>
          <w:tcPr>
            <w:tcW w:w="6672" w:type="dxa"/>
            <w:gridSpan w:val="2"/>
            <w:vAlign w:val="center"/>
          </w:tcPr>
          <w:p w14:paraId="231D3D2A">
            <w:pPr>
              <w:shd w:val="clear"/>
              <w:spacing w:line="360" w:lineRule="auto"/>
              <w:jc w:val="left"/>
              <w:rPr>
                <w:rFonts w:hint="eastAsia" w:ascii="宋体" w:hAnsi="宋体" w:cs="宋体"/>
                <w:color w:val="auto"/>
                <w:sz w:val="21"/>
                <w:szCs w:val="21"/>
                <w:highlight w:val="none"/>
                <w:lang w:val="en-US" w:eastAsia="zh-CN"/>
              </w:rPr>
            </w:pPr>
            <w:r>
              <w:rPr>
                <w:rFonts w:hint="eastAsia" w:ascii="宋体" w:hAnsi="宋体" w:eastAsia="宋体" w:cs="宋体"/>
                <w:color w:val="auto"/>
                <w:sz w:val="21"/>
                <w:szCs w:val="21"/>
                <w:highlight w:val="none"/>
              </w:rPr>
              <w:t>开户名称：</w:t>
            </w:r>
            <w:r>
              <w:rPr>
                <w:rFonts w:hint="eastAsia" w:ascii="宋体" w:hAnsi="宋体" w:cs="宋体"/>
                <w:color w:val="auto"/>
                <w:sz w:val="21"/>
                <w:szCs w:val="21"/>
                <w:highlight w:val="none"/>
                <w:lang w:val="en-US" w:eastAsia="zh-CN"/>
              </w:rPr>
              <w:t>阳江市投源招标采购有限公司</w:t>
            </w:r>
          </w:p>
          <w:p w14:paraId="31FABF21">
            <w:pPr>
              <w:shd w:val="clear"/>
              <w:spacing w:line="360" w:lineRule="auto"/>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开户银行：广发银行股份有限公司阳江滨海支行                                   </w:t>
            </w:r>
          </w:p>
          <w:p w14:paraId="2E1B6FA5">
            <w:pPr>
              <w:shd w:val="clear"/>
              <w:spacing w:line="360" w:lineRule="auto"/>
              <w:jc w:val="left"/>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银行帐号：9550880223387800158</w:t>
            </w:r>
          </w:p>
          <w:p w14:paraId="0098B4D9">
            <w:pPr>
              <w:shd w:val="clear"/>
              <w:spacing w:line="300" w:lineRule="exact"/>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银行行号： 306599000011</w:t>
            </w:r>
          </w:p>
        </w:tc>
      </w:tr>
      <w:tr w14:paraId="5FC772B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661D196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19</w:t>
            </w:r>
          </w:p>
        </w:tc>
        <w:tc>
          <w:tcPr>
            <w:tcW w:w="1750" w:type="dxa"/>
            <w:vAlign w:val="center"/>
          </w:tcPr>
          <w:p w14:paraId="71F0E91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专门面向中小企业采购</w:t>
            </w:r>
          </w:p>
        </w:tc>
        <w:tc>
          <w:tcPr>
            <w:tcW w:w="6672" w:type="dxa"/>
            <w:gridSpan w:val="2"/>
            <w:vAlign w:val="center"/>
          </w:tcPr>
          <w:p w14:paraId="7753587C">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采购包1：非专门面向中小企业</w:t>
            </w:r>
          </w:p>
        </w:tc>
      </w:tr>
      <w:tr w14:paraId="693CC61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454" w:hRule="atLeast"/>
          <w:jc w:val="center"/>
        </w:trPr>
        <w:tc>
          <w:tcPr>
            <w:tcW w:w="649" w:type="dxa"/>
            <w:vAlign w:val="center"/>
          </w:tcPr>
          <w:p w14:paraId="7B0754A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w:t>
            </w:r>
          </w:p>
        </w:tc>
        <w:tc>
          <w:tcPr>
            <w:tcW w:w="1750" w:type="dxa"/>
            <w:vAlign w:val="center"/>
          </w:tcPr>
          <w:p w14:paraId="6352F5F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信息公告媒体</w:t>
            </w:r>
          </w:p>
        </w:tc>
        <w:tc>
          <w:tcPr>
            <w:tcW w:w="3007" w:type="dxa"/>
            <w:tcBorders>
              <w:right w:val="single" w:color="auto" w:sz="4" w:space="0"/>
            </w:tcBorders>
            <w:vAlign w:val="center"/>
          </w:tcPr>
          <w:p w14:paraId="271A37C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全国招标采购公共服务平台</w:t>
            </w:r>
          </w:p>
        </w:tc>
        <w:tc>
          <w:tcPr>
            <w:tcW w:w="3665" w:type="dxa"/>
            <w:tcBorders>
              <w:left w:val="single" w:color="auto" w:sz="4" w:space="0"/>
            </w:tcBorders>
            <w:vAlign w:val="center"/>
          </w:tcPr>
          <w:p w14:paraId="10DE389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https://www.hnzbcgxxw.com/</w:t>
            </w:r>
          </w:p>
        </w:tc>
      </w:tr>
    </w:tbl>
    <w:p w14:paraId="379CD7A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27CE6C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C028B5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三、说明</w:t>
      </w:r>
    </w:p>
    <w:p w14:paraId="7CD3695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1.总则</w:t>
      </w:r>
    </w:p>
    <w:p w14:paraId="76447BD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采购人、采购代理机构及投标人进行的本次采购活动适用《中华人民共和国政府采购法》及其配套的法规、规章、政策。</w:t>
      </w:r>
    </w:p>
    <w:p w14:paraId="4D5D812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投标人应仔细阅读本项目招标公告及招标文件的所有内容（包括变更、补充、澄清以及修改等，且均为招标文件的组成部分），按照招标文件要求以及格式编制投标文件，并保证其真实性，否则一切后果自负。</w:t>
      </w:r>
    </w:p>
    <w:p w14:paraId="4011422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本次公开招标项目，是以招标公告的方式邀请非特定的投标人参加投标。</w:t>
      </w:r>
    </w:p>
    <w:p w14:paraId="5E57798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2.适用范围</w:t>
      </w:r>
    </w:p>
    <w:p w14:paraId="7ACC7B4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本招标文件仅适用于本次招标公告中所涉及的项目和内容。</w:t>
      </w:r>
    </w:p>
    <w:p w14:paraId="481D2AC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3.进口产品</w:t>
      </w:r>
    </w:p>
    <w:p w14:paraId="6F48B10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若本项目允许采购进口产品，供应商应保证所投产品可履行合法报通关手续进入中国关境内。</w:t>
      </w:r>
    </w:p>
    <w:p w14:paraId="2EA4E0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若本项目不允许采购进口产品，如供应商所投产品为进口产品，其响应将被认定为响应无效。</w:t>
      </w:r>
    </w:p>
    <w:p w14:paraId="394375A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4.投标的费用</w:t>
      </w:r>
    </w:p>
    <w:p w14:paraId="4040BC8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不论投标结果如何，投标人应承担所有与准备和参加投标有关的费用。采购代理机构和采购人均无义务和责任承担相关费用。</w:t>
      </w:r>
    </w:p>
    <w:p w14:paraId="1D9A943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5.以联合体形式投标的，应符合以下规定：</w:t>
      </w:r>
    </w:p>
    <w:p w14:paraId="38DB834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5.1联合体各方均应当满足《中华人民共和国政府采购法》第二十二条规定的条件，并在投标文件中提供联合体各方的相关证明材料。</w:t>
      </w:r>
    </w:p>
    <w:p w14:paraId="7FFA9C0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 联合体各方之间应签订共同投标协议书并在投标文件中提交，明确约定联合体各方承担的工作和相应的责任。联合体各方签订共同投标协议书后，不得再以自己名义单独在同一项目（采购包）中投标，也不得组成新的联合体参加同一项目（采购包）投标，若违反规定则其参与的所有投标将视为无效投标。</w:t>
      </w:r>
    </w:p>
    <w:p w14:paraId="33BDC65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5.3 联合体名称需与共同投标协议书签署方一致。对于需交投标保证金的，以牵头方名义缴纳。</w:t>
      </w:r>
    </w:p>
    <w:p w14:paraId="28DBC92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5.4联合体成员存在不良信用记录的，视同联合体存在不良信用记录。</w:t>
      </w:r>
    </w:p>
    <w:p w14:paraId="11B4825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5.5联合体各方均应满足《中华人民共和国政府采购法》第二十二条规定的条件。根据《中华人民共和国政府采购法实施条例》第二十二条，联合体中有同类资质的供应商按照联合体分工承担相同工作的，应当按照资质等级较低的供应商确定资质等级。</w:t>
      </w:r>
    </w:p>
    <w:p w14:paraId="3108D76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5.6联合体各方应当共同与采购人签订采购合同，就合同约定的事项对采购人承担连带责任。</w:t>
      </w:r>
    </w:p>
    <w:p w14:paraId="14B3668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6.关联企业投标说明</w:t>
      </w:r>
    </w:p>
    <w:p w14:paraId="0209A8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6.1 对于不接受联合体投标的采购项目（采购包）：法定代表人或单位负责人为同一个人或者存在直接控股、管理关系的不同供应商，不得同时参加同一项目或同一采购包的投标。如同时参加，则其投标将被拒绝。</w:t>
      </w:r>
    </w:p>
    <w:p w14:paraId="2D2E770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6.2 对于接受联合体投标的采购项目（采购包）：除联合体外，法定代表人或单位负责人为同一个人或者存在直接控股、管理关系的不同供应商，不得同时参加同一项目或同一采购包的投标。如同时参加，则评审时将同时被拒绝。</w:t>
      </w:r>
    </w:p>
    <w:p w14:paraId="5929198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7.关于中小微企业投标</w:t>
      </w:r>
    </w:p>
    <w:p w14:paraId="1FC389B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中小微企业响应是指在政府采购活动中，供应商提供的货物均由中小微企业制造、工程均由中小微企业承建或者服务均由中小微企业承接，并在响应文件中提供《中小企业声明函》。本条款所称中小微企业，是指在中华人民共和国境内依法设立，依据国务院批准的中小企业划分标准确定的中型企业、小型企业和微型企业，但与大企业的负责人为同一人，或者与大企业存在直接控股、管理关系的除外。符合中小企业划分标准的个体工商户，在政府采购活动中视同中小企业。 中小企业划分见《关于印发中小企业划型标准规定的通知》（工信部联企业〔2011〕300号) 。</w:t>
      </w:r>
    </w:p>
    <w:p w14:paraId="1CAD07D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根据财库〔2014〕68号《财政部 司法部关于政府采购支持监狱企业发展有关问题的通知》，监狱企业视同小微企业。监狱企业是指由司法部认定的为罪犯、戒毒人员提供生产项目和劳动对象，且全部产权属于司法部监狱管理局、戒毒管理局、直属煤矿管理局，各省、自治区、直辖市监狱管理局、戒毒管理局，各地(设区的市)监狱、强制隔离戒毒所、戒毒康复所，以及新疆生产建设兵团监狱管理局、戒毒管理局的企业。监狱企业投标时，提供由省级以上监狱管理局、戒毒管理局(含新疆生产建设兵团)出具的属于监狱企业的证明文件，不再提供《中小企业声明函》。</w:t>
      </w:r>
    </w:p>
    <w:p w14:paraId="13113BC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根据财库〔2017〕141号《财政部 民政部 中国残疾人联合会关于促进残疾人就业政府采购政策的通知》，在政府采购活动中，残疾人福利性单位视同小型、微型企业，享受政府采购支持政策的残疾人福利性单位应当同时满足《财政部 民政部 中国残疾人联合会关于促进残疾人就业政府采购政策的通知》所列条件。残疾人福利性单位属于小型、微型企业的，不重复享受政策。符合条件的残疾人福利性单位在参加政府采购活动时，应当提供《残疾人福利性单位声明函》，并对声明的真实性负责。</w:t>
      </w:r>
    </w:p>
    <w:p w14:paraId="4C2FDB2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8.纪律与保密事项</w:t>
      </w:r>
    </w:p>
    <w:p w14:paraId="6A4AF10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8.1投标人不得相互串通投标报价，不得妨碍其他投标人的公平竞争，不得损害采购人或其他投标人的合法权益，投标人不得以向采购人、评标委员会成员行贿或者采取其他不正当手段谋取中标。</w:t>
      </w:r>
    </w:p>
    <w:p w14:paraId="720B021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8.2在确定中标供应商之前，投标人不得与采购人就投标价格、投标方案等实质性内容进行谈判，也不得私下接触评标委员会成员。</w:t>
      </w:r>
    </w:p>
    <w:p w14:paraId="79643BE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8.3在确定中标供应商之前，投标人试图在投标文件审查、澄清、比较和评价时对评标委员会、采购人和采购代理机构施加任何影响都可能导致其投标无效。</w:t>
      </w:r>
    </w:p>
    <w:p w14:paraId="484ACC5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8.4获得本招标文件者，须履行本项目下保密义务，不得将因本次项目获得的信息向第三人外传，不得将招标文件用作本次投标以外的任何用途。</w:t>
      </w:r>
    </w:p>
    <w:p w14:paraId="7D1A37C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8.5由采购人向投标人提供的图纸、详细资料、样品、模型、模件和所有其它资料，均为保密资料，仅被用于它所规定的用途。除非得到采购人的同意，不能向任何第三方透露。开标结束后，应采购人要求，投标人应归还所有从采购人处获得的保密资料。</w:t>
      </w:r>
    </w:p>
    <w:p w14:paraId="7A99F59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8.6采购人或采购代理机构有权将供应商提供的所有资料向有关政府部门或评审小组披露。</w:t>
      </w:r>
    </w:p>
    <w:p w14:paraId="0BFC01A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8.7在采购人或采购代理机构认为适当时、国家机关调查、审查、审计时以及其他符合法律规定的情形下，采购人或采购代理机构无须事先征求供应商同意而可以披露关于采购过程、合同文本、签署情况的资料、供应商的名称及地址、响应文件的有关信息以及补充条款等，但应当在合理的必要范围内。对任何已经公布过的内容或与之内容相同的资料，以及供应商已经泄露或公开的，无须再承担保密责任。</w:t>
      </w:r>
    </w:p>
    <w:p w14:paraId="2580D64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9.语言文字以及度量衡单位</w:t>
      </w:r>
    </w:p>
    <w:p w14:paraId="1E7C3A6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9.1除招标文件另有规定外，投标文件应使用中文文本，若有不同文本，以中文文本为准。投标文件提供的全部资料中，若原件属于非中文描述，应提供具有翻译资质的机构翻译的中文译本。前述翻译机构应为中国翻译协会成员单位，翻译的中文译本应由翻译人员签名并加盖翻译机构公章，同时提供翻译人员翻译资格证书。中文译本、翻译机构的成员单位证书及翻译人员的资格证书可为复印件。</w:t>
      </w:r>
    </w:p>
    <w:p w14:paraId="639E27D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9.2除非招标文件的技术规格中另有规定，投标人在投标文件中及其与采购人和采购代理机构的所有往来文件中的计量单位均应采用中华人民共和国法定计量单位。</w:t>
      </w:r>
    </w:p>
    <w:p w14:paraId="5849317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9.3投标人所提供的货物和服务均应以人民币报价，货币单位：元。</w:t>
      </w:r>
    </w:p>
    <w:p w14:paraId="77E9C96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10. 现场踏勘（如有）</w:t>
      </w:r>
    </w:p>
    <w:p w14:paraId="463A8BA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10.1招标文件规定组织踏勘现场的，采购人按招标文件规定的时间、地点组织投标人踏勘项目现场。</w:t>
      </w:r>
    </w:p>
    <w:p w14:paraId="4D22F07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10.2投标人自行承担踏勘现场发生的责任、风险和自身费用。</w:t>
      </w:r>
    </w:p>
    <w:p w14:paraId="60CEBEA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10.3采购人在踏勘现场中介绍的资料和数据等，只是为了使投标人能够利用招标人现有的资料。招标人对投标人由此而作出的推论、解释和结论概不负责。</w:t>
      </w:r>
    </w:p>
    <w:p w14:paraId="430FC3E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四、招标文件的澄清和修改</w:t>
      </w:r>
    </w:p>
    <w:p w14:paraId="180ADBD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采购代理机构对招标文件进行必要的澄清或者修改的，在指定媒体上发布更正公告。澄清或者修改的内容可能影响投标文件编制的，更正公告在投标截止时间至少15日前发出；不足15日的，代理机构顺延提交投标文件截止时间。</w:t>
      </w:r>
    </w:p>
    <w:p w14:paraId="1613AD7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更正公告及其所发布的内容或信息（包括但不限于：招标文件的澄清或修改、现场考察或答疑会的有关事宜等）作为招标文件的组成部分，对投标人具有约束力。一经在指定媒体上发布后，更正公告将作为通知所有招标文件收受人的书面形式。</w:t>
      </w:r>
    </w:p>
    <w:p w14:paraId="7FF7F03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3.如更正公告有重新发布招标文件的，供应商应下载最新发布的招标文件制作投标文件。</w:t>
      </w:r>
    </w:p>
    <w:p w14:paraId="5007A26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4.投标人在规定的时间内未对招标文件提出疑问、质疑或要求澄清的，将视其为无异议。对招标文件中描述有歧义或前后不一致的地方，评标委员会有权进行评判，但对同一条款的评判应适用于每个投标人。</w:t>
      </w:r>
    </w:p>
    <w:p w14:paraId="05276A8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五、投标要求</w:t>
      </w:r>
    </w:p>
    <w:p w14:paraId="3B575A9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1.投标登记</w:t>
      </w:r>
    </w:p>
    <w:p w14:paraId="5948DFA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投标人应</w:t>
      </w:r>
      <w:r>
        <w:rPr>
          <w:rFonts w:hint="eastAsia" w:ascii="宋体" w:hAnsi="宋体" w:eastAsia="宋体" w:cs="宋体"/>
          <w:color w:val="auto"/>
          <w:sz w:val="21"/>
          <w:szCs w:val="21"/>
          <w:highlight w:val="none"/>
          <w:lang w:val="en-US" w:eastAsia="zh-CN"/>
        </w:rPr>
        <w:t>在代理机构完</w:t>
      </w:r>
      <w:r>
        <w:rPr>
          <w:rFonts w:hint="eastAsia" w:ascii="宋体" w:hAnsi="宋体" w:eastAsia="宋体" w:cs="宋体"/>
          <w:color w:val="auto"/>
          <w:sz w:val="21"/>
          <w:szCs w:val="21"/>
          <w:highlight w:val="none"/>
        </w:rPr>
        <w:t>成项目投标登记并</w:t>
      </w:r>
      <w:r>
        <w:rPr>
          <w:rFonts w:hint="eastAsia" w:ascii="宋体" w:hAnsi="宋体" w:eastAsia="宋体" w:cs="宋体"/>
          <w:color w:val="auto"/>
          <w:sz w:val="21"/>
          <w:szCs w:val="21"/>
          <w:highlight w:val="none"/>
          <w:lang w:val="en-US" w:eastAsia="zh-CN"/>
        </w:rPr>
        <w:t>购买</w:t>
      </w:r>
      <w:r>
        <w:rPr>
          <w:rFonts w:hint="eastAsia" w:ascii="宋体" w:hAnsi="宋体" w:eastAsia="宋体" w:cs="宋体"/>
          <w:color w:val="auto"/>
          <w:sz w:val="21"/>
          <w:szCs w:val="21"/>
          <w:highlight w:val="none"/>
        </w:rPr>
        <w:t>招标文件（未按上述方式获取招标文件的供应商，其投标资格将被视为无效）。</w:t>
      </w:r>
    </w:p>
    <w:p w14:paraId="6B5ED82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2.投标文件的制作</w:t>
      </w:r>
    </w:p>
    <w:p w14:paraId="5DC7B997">
      <w:pPr>
        <w:pStyle w:val="174"/>
        <w:keepNext w:val="0"/>
        <w:keepLines w:val="0"/>
        <w:pageBreakBefore w:val="0"/>
        <w:shd w:val="clea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2.1投标文件中，其格式要求详见第六章说明。如因不按要求编制，其后果由投标人承担。</w:t>
      </w:r>
    </w:p>
    <w:p w14:paraId="4611890A">
      <w:pPr>
        <w:pStyle w:val="174"/>
        <w:keepNext w:val="0"/>
        <w:keepLines w:val="0"/>
        <w:pageBreakBefore w:val="0"/>
        <w:shd w:val="clear"/>
        <w:kinsoku/>
        <w:wordWrap/>
        <w:overflowPunct/>
        <w:topLinePunct w:val="0"/>
        <w:autoSpaceDE/>
        <w:autoSpaceDN/>
        <w:bidi w:val="0"/>
        <w:adjustRightInd/>
        <w:snapToGrid/>
        <w:spacing w:line="360" w:lineRule="auto"/>
        <w:ind w:firstLine="630" w:firstLineChars="3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2.2投标人应</w:t>
      </w:r>
      <w:r>
        <w:rPr>
          <w:rFonts w:hint="eastAsia" w:ascii="宋体" w:hAnsi="宋体" w:eastAsia="宋体" w:cs="宋体"/>
          <w:color w:val="auto"/>
          <w:sz w:val="21"/>
          <w:szCs w:val="21"/>
          <w:highlight w:val="none"/>
          <w:lang w:val="en-US" w:eastAsia="zh-CN"/>
        </w:rPr>
        <w:t>正确</w:t>
      </w:r>
      <w:r>
        <w:rPr>
          <w:rFonts w:hint="eastAsia" w:ascii="宋体" w:hAnsi="宋体" w:eastAsia="宋体" w:cs="宋体"/>
          <w:color w:val="auto"/>
          <w:sz w:val="21"/>
          <w:szCs w:val="21"/>
          <w:highlight w:val="none"/>
        </w:rPr>
        <w:t>编制、标记投标文件。关于投标报价（如有报价）说明如下：</w:t>
      </w:r>
    </w:p>
    <w:p w14:paraId="5D15734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投标人应按照“第二章采购需求”的需求内容、责任范围以及合同条款进行报价。并按“开标一览表”和“分项报价表”规定的格式报出总价和分项价格。投标总价中不得包含招标文件要求以外的内容，否则，在评审时不予核减。</w:t>
      </w:r>
    </w:p>
    <w:p w14:paraId="73C4DBF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(2)投标报价包括本项目采购需求和投入使用的所有费用，包括但不限于主件、标准附件、备品备件、施工、服务、专用工具、安装、调试、检验、培训、运输、保险、税款等。</w:t>
      </w:r>
    </w:p>
    <w:p w14:paraId="69E8A34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如有对多个采购包投标的，要对每个采购包独立制作投标文件。</w:t>
      </w:r>
    </w:p>
    <w:p w14:paraId="2ED2B7B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2.4投标人不得将同一个项目或同一个采购包的内容拆开投标，否则其报价将被视为非实质性响应。</w:t>
      </w:r>
    </w:p>
    <w:p w14:paraId="1620F0C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2.5投标人须对招标文件的对应要求给予唯一的实质性响应，否则将视为不响应。</w:t>
      </w:r>
    </w:p>
    <w:p w14:paraId="30898B9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2.6招标文件中，凡标有“★”的地方均为实质性响应条款，投标人若有一项带“★”的条款未响应或不满足，将按无效投标处理。</w:t>
      </w:r>
    </w:p>
    <w:p w14:paraId="532AA46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2.7投标人必须按招标文件指定的格式填写各种报价，各报价应计算正确。除在招标文件另有规定外（如：报折扣、报优惠率等），计量单位应使用中华人民共和国法定计量单位，以人民币填报所有报价。</w:t>
      </w:r>
    </w:p>
    <w:p w14:paraId="4A8112B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2.8投标文件以及投标人与采购人、代理机构就有关投标的往来函电均应使用中文。投标人提交的支持性文件和印制的文件可以用另一种语言，但相应内容应翻译成中文，在解释投标文件时以中文文本为准。</w:t>
      </w:r>
    </w:p>
    <w:p w14:paraId="79C999E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2.9投标人应按招标文件的规定及附件要求的内容和格式完整地填写和提供资料。投标人必须对投标文件所提供的全部资料的真实性承担法律责任，并无条件接受采购人对其中任何资料进行核实（核对原件）的要求。</w:t>
      </w:r>
    </w:p>
    <w:p w14:paraId="53739DF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3.投标文件的提交</w:t>
      </w:r>
    </w:p>
    <w:p w14:paraId="019643D8">
      <w:pPr>
        <w:widowControl/>
        <w:shd w:val="clear"/>
        <w:tabs>
          <w:tab w:val="left" w:pos="753"/>
        </w:tabs>
        <w:adjustRightInd w:val="0"/>
        <w:snapToGrid w:val="0"/>
        <w:spacing w:line="360" w:lineRule="auto"/>
        <w:ind w:left="741" w:leftChars="200" w:hanging="321" w:hangingChars="153"/>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Hans"/>
        </w:rPr>
        <w:t xml:space="preserve"> 3.1</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Hans"/>
        </w:rPr>
        <w:t>递交投标文件的地点与开标的地点为同一地点；投标截止时间与开标时间为同一时间。</w:t>
      </w:r>
    </w:p>
    <w:p w14:paraId="0C2061FB">
      <w:pPr>
        <w:widowControl/>
        <w:shd w:val="clear"/>
        <w:tabs>
          <w:tab w:val="left" w:pos="753"/>
        </w:tabs>
        <w:adjustRightInd w:val="0"/>
        <w:snapToGrid w:val="0"/>
        <w:spacing w:line="360" w:lineRule="auto"/>
        <w:ind w:left="0" w:leftChars="0" w:firstLine="420" w:firstLineChars="200"/>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Hans"/>
        </w:rPr>
        <w:t>.2投标文件需由专人送交。投标人须将密封和标记后的投标文件，按照招标文件中注明的开标地址于投标截止时间之前送交代理采购机构。</w:t>
      </w:r>
    </w:p>
    <w:p w14:paraId="30148371">
      <w:pPr>
        <w:widowControl/>
        <w:shd w:val="clear"/>
        <w:tabs>
          <w:tab w:val="left" w:pos="753"/>
        </w:tabs>
        <w:adjustRightInd w:val="0"/>
        <w:snapToGrid w:val="0"/>
        <w:spacing w:line="360" w:lineRule="auto"/>
        <w:ind w:left="741" w:leftChars="200" w:hanging="321" w:hangingChars="153"/>
        <w:rPr>
          <w:rFonts w:hint="eastAsia" w:ascii="宋体" w:hAnsi="宋体" w:eastAsia="宋体" w:cs="宋体"/>
          <w:color w:val="auto"/>
          <w:kern w:val="0"/>
          <w:sz w:val="21"/>
          <w:szCs w:val="21"/>
          <w:highlight w:val="none"/>
          <w:lang w:val="en-US" w:eastAsia="zh-Hans"/>
        </w:rPr>
      </w:pPr>
      <w:bookmarkStart w:id="0" w:name="_Toc365967064"/>
      <w:bookmarkStart w:id="1" w:name="_Toc336681926"/>
      <w:bookmarkStart w:id="2" w:name="_Toc374454591"/>
      <w:bookmarkStart w:id="3" w:name="_Toc349143580"/>
      <w:bookmarkStart w:id="4" w:name="_Toc497224218"/>
      <w:bookmarkStart w:id="5" w:name="_Toc365985170"/>
      <w:bookmarkStart w:id="6" w:name="_Toc339020006"/>
      <w:bookmarkStart w:id="7" w:name="_Toc331512889"/>
      <w:bookmarkStart w:id="8" w:name="_Toc333238624"/>
      <w:bookmarkStart w:id="9" w:name="_Toc342296751"/>
      <w:bookmarkStart w:id="10" w:name="_Toc345513858"/>
      <w:bookmarkStart w:id="11" w:name="_Toc333237779"/>
      <w:bookmarkStart w:id="12" w:name="_Toc341348329"/>
      <w:bookmarkStart w:id="13" w:name="_Toc339020086"/>
      <w:bookmarkStart w:id="14" w:name="_Toc333935678"/>
      <w:bookmarkStart w:id="15" w:name="_Toc330459976"/>
      <w:bookmarkStart w:id="16" w:name="_Toc336681571"/>
      <w:bookmarkStart w:id="17" w:name="_Toc333935337"/>
      <w:bookmarkStart w:id="18" w:name="_Toc340507433"/>
      <w:bookmarkStart w:id="19" w:name="_Toc339441078"/>
      <w:bookmarkStart w:id="20" w:name="_Toc503785420"/>
      <w:bookmarkStart w:id="21" w:name="_Toc337632349"/>
      <w:bookmarkStart w:id="22" w:name="_Toc340672860"/>
      <w:bookmarkStart w:id="23" w:name="_Toc332270337"/>
      <w:bookmarkStart w:id="24" w:name="_Toc332206699"/>
      <w:bookmarkStart w:id="25" w:name="_Toc366072519"/>
      <w:bookmarkStart w:id="26" w:name="_Toc333237668"/>
      <w:bookmarkStart w:id="27" w:name="_Toc350438740"/>
      <w:bookmarkStart w:id="28" w:name="_Toc340677061"/>
      <w:bookmarkStart w:id="29" w:name="_Toc339362291"/>
      <w:bookmarkStart w:id="30" w:name="_Toc331684029"/>
      <w:bookmarkStart w:id="31" w:name="_Toc342060365"/>
      <w:bookmarkStart w:id="32" w:name="_Toc339019880"/>
      <w:bookmarkStart w:id="33" w:name="_Toc349127617"/>
      <w:bookmarkStart w:id="34" w:name="_Toc339020224"/>
      <w:bookmarkStart w:id="35" w:name="_Toc350756441"/>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Hans"/>
        </w:rPr>
        <w:t>.3代理采购机构于投标截止时间前30分钟开始接收投标文件，并于招标文件规定的开标时间、</w:t>
      </w:r>
    </w:p>
    <w:p w14:paraId="17C55406">
      <w:pPr>
        <w:widowControl/>
        <w:shd w:val="clear"/>
        <w:tabs>
          <w:tab w:val="left" w:pos="753"/>
        </w:tabs>
        <w:adjustRightInd w:val="0"/>
        <w:snapToGrid w:val="0"/>
        <w:spacing w:line="360" w:lineRule="auto"/>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Hans"/>
        </w:rPr>
        <w:t>开标地点公开开标。</w:t>
      </w:r>
    </w:p>
    <w:bookmarkEnd w:id="0"/>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p w14:paraId="024B0397">
      <w:pPr>
        <w:widowControl/>
        <w:shd w:val="clear"/>
        <w:tabs>
          <w:tab w:val="left" w:pos="753"/>
        </w:tabs>
        <w:adjustRightInd w:val="0"/>
        <w:snapToGrid w:val="0"/>
        <w:spacing w:line="360" w:lineRule="auto"/>
        <w:ind w:left="745" w:leftChars="200" w:hanging="325" w:hangingChars="155"/>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CN"/>
        </w:rPr>
        <w:t>3</w:t>
      </w:r>
      <w:r>
        <w:rPr>
          <w:rFonts w:hint="eastAsia" w:ascii="宋体" w:hAnsi="宋体" w:eastAsia="宋体" w:cs="宋体"/>
          <w:color w:val="auto"/>
          <w:kern w:val="0"/>
          <w:sz w:val="21"/>
          <w:szCs w:val="21"/>
          <w:highlight w:val="none"/>
          <w:lang w:val="en-US" w:eastAsia="zh-Hans"/>
        </w:rPr>
        <w:t>.</w:t>
      </w: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Hans"/>
        </w:rPr>
        <w:t>代理采购机构将拒绝在投标截止时间后递交的任何投标文件。</w:t>
      </w:r>
    </w:p>
    <w:p w14:paraId="61F25C0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4.投标文件的修改、撤回与撤销</w:t>
      </w:r>
    </w:p>
    <w:p w14:paraId="071434E3">
      <w:pPr>
        <w:widowControl/>
        <w:shd w:val="clear"/>
        <w:tabs>
          <w:tab w:val="left" w:pos="753"/>
        </w:tabs>
        <w:adjustRightInd w:val="0"/>
        <w:snapToGrid w:val="0"/>
        <w:spacing w:line="360" w:lineRule="auto"/>
        <w:ind w:left="745" w:leftChars="200" w:hanging="325" w:hangingChars="155"/>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Hans"/>
        </w:rPr>
        <w:t xml:space="preserve"> 4.1</w:t>
      </w:r>
      <w:r>
        <w:rPr>
          <w:rFonts w:hint="eastAsia" w:ascii="宋体" w:hAnsi="宋体" w:eastAsia="宋体" w:cs="宋体"/>
          <w:color w:val="auto"/>
          <w:kern w:val="0"/>
          <w:sz w:val="21"/>
          <w:szCs w:val="21"/>
          <w:highlight w:val="none"/>
          <w:lang w:val="en-US" w:eastAsia="zh-CN"/>
        </w:rPr>
        <w:t xml:space="preserve"> </w:t>
      </w:r>
      <w:r>
        <w:rPr>
          <w:rFonts w:hint="eastAsia" w:ascii="宋体" w:hAnsi="宋体" w:eastAsia="宋体" w:cs="宋体"/>
          <w:color w:val="auto"/>
          <w:kern w:val="0"/>
          <w:sz w:val="21"/>
          <w:szCs w:val="21"/>
          <w:highlight w:val="none"/>
          <w:lang w:val="en-US" w:eastAsia="zh-Hans"/>
        </w:rPr>
        <w:t>投标人在投标截止时间前，可以修改或撤回其投标文件。但必须在规定的投标截止时间之</w:t>
      </w:r>
    </w:p>
    <w:p w14:paraId="2670982A">
      <w:pPr>
        <w:widowControl/>
        <w:shd w:val="clear"/>
        <w:tabs>
          <w:tab w:val="left" w:pos="753"/>
        </w:tabs>
        <w:adjustRightInd w:val="0"/>
        <w:snapToGrid w:val="0"/>
        <w:spacing w:line="360" w:lineRule="auto"/>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Hans"/>
        </w:rPr>
        <w:t>前以书面通知到代理采购机构，该通知须有投标人法定代表人（负责人）或其授权代表签字。</w:t>
      </w:r>
    </w:p>
    <w:p w14:paraId="0EBBB927">
      <w:pPr>
        <w:widowControl/>
        <w:shd w:val="clear"/>
        <w:tabs>
          <w:tab w:val="left" w:pos="753"/>
        </w:tabs>
        <w:adjustRightInd w:val="0"/>
        <w:snapToGrid w:val="0"/>
        <w:spacing w:line="360" w:lineRule="auto"/>
        <w:ind w:left="745" w:leftChars="200" w:hanging="325" w:hangingChars="155"/>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Hans"/>
        </w:rPr>
        <w:t>.2</w:t>
      </w:r>
      <w:r>
        <w:rPr>
          <w:rFonts w:hint="eastAsia" w:ascii="宋体" w:hAnsi="宋体" w:eastAsia="宋体" w:cs="宋体"/>
          <w:color w:val="auto"/>
          <w:kern w:val="0"/>
          <w:sz w:val="21"/>
          <w:szCs w:val="21"/>
          <w:highlight w:val="none"/>
          <w:lang w:val="en-US" w:eastAsia="zh-Hans"/>
        </w:rPr>
        <w:tab/>
      </w:r>
      <w:r>
        <w:rPr>
          <w:rFonts w:hint="eastAsia" w:ascii="宋体" w:hAnsi="宋体" w:eastAsia="宋体" w:cs="宋体"/>
          <w:color w:val="auto"/>
          <w:kern w:val="0"/>
          <w:sz w:val="21"/>
          <w:szCs w:val="21"/>
          <w:highlight w:val="none"/>
          <w:lang w:val="en-US" w:eastAsia="zh-Hans"/>
        </w:rPr>
        <w:t>投标人对投标文件修改的书面材料或撤销的通知应注明“修改投标文件”或“撤销</w:t>
      </w:r>
    </w:p>
    <w:p w14:paraId="342F31F5">
      <w:pPr>
        <w:widowControl/>
        <w:shd w:val="clear"/>
        <w:tabs>
          <w:tab w:val="left" w:pos="753"/>
        </w:tabs>
        <w:adjustRightInd w:val="0"/>
        <w:snapToGrid w:val="0"/>
        <w:spacing w:line="360" w:lineRule="auto"/>
        <w:ind w:left="751" w:leftChars="1" w:hanging="749" w:hangingChars="357"/>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Hans"/>
        </w:rPr>
        <w:t>投标”字样。</w:t>
      </w:r>
    </w:p>
    <w:p w14:paraId="7A3B9FBB">
      <w:pPr>
        <w:widowControl/>
        <w:shd w:val="clear"/>
        <w:tabs>
          <w:tab w:val="left" w:pos="753"/>
        </w:tabs>
        <w:adjustRightInd w:val="0"/>
        <w:snapToGrid w:val="0"/>
        <w:spacing w:line="360" w:lineRule="auto"/>
        <w:ind w:left="745" w:leftChars="200" w:hanging="325" w:hangingChars="155"/>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Hans"/>
        </w:rPr>
        <w:t>.3</w:t>
      </w:r>
      <w:r>
        <w:rPr>
          <w:rFonts w:hint="eastAsia" w:ascii="宋体" w:hAnsi="宋体" w:eastAsia="宋体" w:cs="宋体"/>
          <w:color w:val="auto"/>
          <w:kern w:val="0"/>
          <w:sz w:val="21"/>
          <w:szCs w:val="21"/>
          <w:highlight w:val="none"/>
          <w:lang w:val="en-US" w:eastAsia="zh-Hans"/>
        </w:rPr>
        <w:tab/>
      </w:r>
      <w:r>
        <w:rPr>
          <w:rFonts w:hint="eastAsia" w:ascii="宋体" w:hAnsi="宋体" w:eastAsia="宋体" w:cs="宋体"/>
          <w:color w:val="auto"/>
          <w:kern w:val="0"/>
          <w:sz w:val="21"/>
          <w:szCs w:val="21"/>
          <w:highlight w:val="none"/>
          <w:lang w:val="en-US" w:eastAsia="zh-Hans"/>
        </w:rPr>
        <w:t>在投标截止时间之后，投标人不得对其投标文件做任何修改。</w:t>
      </w:r>
    </w:p>
    <w:p w14:paraId="20291D03">
      <w:pPr>
        <w:widowControl/>
        <w:shd w:val="clear"/>
        <w:tabs>
          <w:tab w:val="left" w:pos="753"/>
        </w:tabs>
        <w:adjustRightInd w:val="0"/>
        <w:snapToGrid w:val="0"/>
        <w:spacing w:line="360" w:lineRule="auto"/>
        <w:ind w:left="745" w:leftChars="200" w:hanging="325" w:hangingChars="155"/>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CN"/>
        </w:rPr>
        <w:t>4</w:t>
      </w:r>
      <w:r>
        <w:rPr>
          <w:rFonts w:hint="eastAsia" w:ascii="宋体" w:hAnsi="宋体" w:eastAsia="宋体" w:cs="宋体"/>
          <w:color w:val="auto"/>
          <w:kern w:val="0"/>
          <w:sz w:val="21"/>
          <w:szCs w:val="21"/>
          <w:highlight w:val="none"/>
          <w:lang w:val="en-US" w:eastAsia="zh-Hans"/>
        </w:rPr>
        <w:t>.4</w:t>
      </w:r>
      <w:r>
        <w:rPr>
          <w:rFonts w:hint="eastAsia" w:ascii="宋体" w:hAnsi="宋体" w:eastAsia="宋体" w:cs="宋体"/>
          <w:color w:val="auto"/>
          <w:kern w:val="0"/>
          <w:sz w:val="21"/>
          <w:szCs w:val="21"/>
          <w:highlight w:val="none"/>
          <w:lang w:val="en-US" w:eastAsia="zh-Hans"/>
        </w:rPr>
        <w:tab/>
      </w:r>
      <w:r>
        <w:rPr>
          <w:rFonts w:hint="eastAsia" w:ascii="宋体" w:hAnsi="宋体" w:eastAsia="宋体" w:cs="宋体"/>
          <w:color w:val="auto"/>
          <w:kern w:val="0"/>
          <w:sz w:val="21"/>
          <w:szCs w:val="21"/>
          <w:highlight w:val="none"/>
          <w:lang w:val="en-US" w:eastAsia="zh-Hans"/>
        </w:rPr>
        <w:t>从投标截止时间至投标文件有效期期满之前，投标人不得撤回其投标文件，否则代理采购机</w:t>
      </w:r>
    </w:p>
    <w:p w14:paraId="48837277">
      <w:pPr>
        <w:widowControl/>
        <w:shd w:val="clear"/>
        <w:tabs>
          <w:tab w:val="left" w:pos="753"/>
        </w:tabs>
        <w:adjustRightInd w:val="0"/>
        <w:snapToGrid w:val="0"/>
        <w:spacing w:line="360" w:lineRule="auto"/>
        <w:rPr>
          <w:rFonts w:hint="eastAsia" w:ascii="宋体" w:hAnsi="宋体" w:eastAsia="宋体" w:cs="宋体"/>
          <w:color w:val="auto"/>
          <w:kern w:val="0"/>
          <w:sz w:val="21"/>
          <w:szCs w:val="21"/>
          <w:highlight w:val="none"/>
          <w:lang w:val="en-US" w:eastAsia="zh-Hans"/>
        </w:rPr>
      </w:pPr>
      <w:r>
        <w:rPr>
          <w:rFonts w:hint="eastAsia" w:ascii="宋体" w:hAnsi="宋体" w:eastAsia="宋体" w:cs="宋体"/>
          <w:color w:val="auto"/>
          <w:kern w:val="0"/>
          <w:sz w:val="21"/>
          <w:szCs w:val="21"/>
          <w:highlight w:val="none"/>
          <w:lang w:val="en-US" w:eastAsia="zh-Hans"/>
        </w:rPr>
        <w:t>构将按规定不予退还投标保证金。</w:t>
      </w:r>
    </w:p>
    <w:p w14:paraId="0C6AEA4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b/>
          <w:bCs w:val="0"/>
          <w:color w:val="auto"/>
          <w:sz w:val="21"/>
          <w:szCs w:val="21"/>
          <w:highlight w:val="none"/>
          <w:lang w:val="en-US" w:eastAsia="zh-CN"/>
        </w:rPr>
      </w:pPr>
      <w:r>
        <w:rPr>
          <w:rFonts w:hint="eastAsia" w:ascii="宋体" w:hAnsi="宋体" w:eastAsia="宋体" w:cs="宋体"/>
          <w:b/>
          <w:color w:val="auto"/>
          <w:sz w:val="21"/>
          <w:szCs w:val="21"/>
          <w:highlight w:val="none"/>
        </w:rPr>
        <w:t>5.</w:t>
      </w:r>
      <w:bookmarkStart w:id="36" w:name="_Toc340672863"/>
      <w:bookmarkStart w:id="37" w:name="_Toc365967067"/>
      <w:bookmarkStart w:id="38" w:name="_Toc339019883"/>
      <w:bookmarkStart w:id="39" w:name="_Toc339020089"/>
      <w:bookmarkStart w:id="40" w:name="_Toc339362294"/>
      <w:bookmarkStart w:id="41" w:name="_Toc339020227"/>
      <w:bookmarkStart w:id="42" w:name="_Toc332206702"/>
      <w:bookmarkStart w:id="43" w:name="_Toc340507436"/>
      <w:bookmarkStart w:id="44" w:name="_Toc339020009"/>
      <w:bookmarkStart w:id="45" w:name="_Toc350756444"/>
      <w:bookmarkStart w:id="46" w:name="_Toc365985173"/>
      <w:bookmarkStart w:id="47" w:name="_Toc331684032"/>
      <w:bookmarkStart w:id="48" w:name="_Toc340677064"/>
      <w:bookmarkStart w:id="49" w:name="_Toc503785423"/>
      <w:bookmarkStart w:id="50" w:name="_Toc342296754"/>
      <w:bookmarkStart w:id="51" w:name="_Toc345513861"/>
      <w:bookmarkStart w:id="52" w:name="_Toc497224221"/>
      <w:bookmarkStart w:id="53" w:name="_Toc333238627"/>
      <w:bookmarkStart w:id="54" w:name="_Toc336681574"/>
      <w:bookmarkStart w:id="55" w:name="_Toc374454594"/>
      <w:bookmarkStart w:id="56" w:name="_Toc17227"/>
      <w:bookmarkStart w:id="57" w:name="_Toc330459979"/>
      <w:bookmarkStart w:id="58" w:name="_Toc331512892"/>
      <w:bookmarkStart w:id="59" w:name="_Toc336681929"/>
      <w:bookmarkStart w:id="60" w:name="_Toc349143583"/>
      <w:bookmarkStart w:id="61" w:name="_Toc339441081"/>
      <w:bookmarkStart w:id="62" w:name="_Toc333237671"/>
      <w:bookmarkStart w:id="63" w:name="_Toc333237782"/>
      <w:bookmarkStart w:id="64" w:name="_Toc350438743"/>
      <w:bookmarkStart w:id="65" w:name="_Toc337632352"/>
      <w:bookmarkStart w:id="66" w:name="_Toc341348332"/>
      <w:bookmarkStart w:id="67" w:name="_Toc333935340"/>
      <w:bookmarkStart w:id="68" w:name="_Toc366072522"/>
      <w:bookmarkStart w:id="69" w:name="_Toc342060368"/>
      <w:bookmarkStart w:id="70" w:name="_Toc349127620"/>
      <w:bookmarkStart w:id="71" w:name="_Toc333935681"/>
      <w:bookmarkStart w:id="72" w:name="_Toc332270340"/>
      <w:r>
        <w:rPr>
          <w:rFonts w:hint="eastAsia" w:ascii="宋体" w:hAnsi="宋体" w:eastAsia="宋体" w:cs="宋体"/>
          <w:b/>
          <w:bCs w:val="0"/>
          <w:color w:val="auto"/>
          <w:sz w:val="21"/>
          <w:szCs w:val="21"/>
          <w:highlight w:val="none"/>
          <w:lang w:val="en-US" w:eastAsia="zh-Hans"/>
        </w:rPr>
        <w:t>开</w:t>
      </w:r>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r>
        <w:rPr>
          <w:rFonts w:hint="eastAsia" w:ascii="宋体" w:hAnsi="宋体" w:eastAsia="宋体" w:cs="宋体"/>
          <w:b/>
          <w:bCs w:val="0"/>
          <w:color w:val="auto"/>
          <w:sz w:val="21"/>
          <w:szCs w:val="21"/>
          <w:highlight w:val="none"/>
          <w:lang w:val="en-US" w:eastAsia="zh-CN"/>
        </w:rPr>
        <w:t>启</w:t>
      </w:r>
    </w:p>
    <w:p w14:paraId="03046E34">
      <w:pPr>
        <w:widowControl/>
        <w:shd w:val="clear"/>
        <w:tabs>
          <w:tab w:val="left" w:pos="753"/>
        </w:tabs>
        <w:adjustRightInd w:val="0"/>
        <w:snapToGrid w:val="0"/>
        <w:spacing w:line="360" w:lineRule="auto"/>
        <w:ind w:left="745" w:leftChars="199" w:hanging="327" w:hangingChars="156"/>
        <w:rPr>
          <w:rFonts w:hint="eastAsia" w:ascii="宋体" w:hAnsi="宋体" w:eastAsia="宋体" w:cs="宋体"/>
          <w:color w:val="auto"/>
          <w:sz w:val="21"/>
          <w:szCs w:val="21"/>
          <w:highlight w:val="none"/>
        </w:rPr>
      </w:pPr>
      <w:r>
        <w:rPr>
          <w:rFonts w:hint="eastAsia" w:ascii="宋体" w:hAnsi="宋体" w:eastAsia="宋体" w:cs="宋体"/>
          <w:bCs/>
          <w:color w:val="auto"/>
          <w:highlight w:val="none"/>
          <w:lang w:val="en-US" w:eastAsia="zh-CN"/>
        </w:rPr>
        <w:t>现场开启</w:t>
      </w:r>
      <w:r>
        <w:rPr>
          <w:rFonts w:hint="eastAsia" w:ascii="宋体" w:hAnsi="宋体" w:eastAsia="宋体" w:cs="宋体"/>
          <w:bCs/>
          <w:color w:val="auto"/>
          <w:highlight w:val="none"/>
        </w:rPr>
        <w:t>。</w:t>
      </w:r>
    </w:p>
    <w:p w14:paraId="5E559A1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6.投标保证金</w:t>
      </w:r>
    </w:p>
    <w:p w14:paraId="58BCD76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6.1投标保证金的缴纳</w:t>
      </w:r>
    </w:p>
    <w:p w14:paraId="209C074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投标人在提交投标文件时，应按投标人须知前附表规定的金额和缴纳要求缴纳投标保证金，并作为其投标文件的组成部分。</w:t>
      </w:r>
    </w:p>
    <w:p w14:paraId="2B6E318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如采用转账、支票、本票、汇票形式提交的，投标保证金从投标人基本账户递交，由</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代收。具体操作要求详见</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有关指引，递交事宜请自行咨询</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；请各投标人在投标文件递交截止时间前按须知前附表规定的金额递交至</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，到账情况以开标时</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查询的信息为准。</w:t>
      </w:r>
    </w:p>
    <w:p w14:paraId="7A32FF2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如采用金融机构、专业担保机构开具的投标担保函、投标保证保险函等形式提交投标保证金的，投标担保函或投标保证保险函须开具给采购人（保险受益人须为采购人），并与投标文件一同递交。</w:t>
      </w:r>
    </w:p>
    <w:p w14:paraId="5BF2702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电子保函与纸质保函具有同样效力。</w:t>
      </w:r>
    </w:p>
    <w:p w14:paraId="6CDAF4C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6.2投标保证金的退还：</w:t>
      </w:r>
    </w:p>
    <w:p w14:paraId="21688BB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（1）投标人在投标截止时间前放弃投标的，自所投采购包结果公告发出后5个工作日内退还。</w:t>
      </w:r>
    </w:p>
    <w:p w14:paraId="4146E7E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（2）未中标的投标人投标保证金，自中标通知书发出之日起5个工作日内退还。</w:t>
      </w:r>
    </w:p>
    <w:p w14:paraId="2FA68E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（3）中标供应商的投标保证金，自政府采购合同签订之日起5个工作日内退还。</w:t>
      </w:r>
    </w:p>
    <w:p w14:paraId="7B30F2A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备注：但因投标人自身原因导致无法及时退还的除外。</w:t>
      </w:r>
    </w:p>
    <w:p w14:paraId="77A959B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6.3有下列情形之一的，投标保证金将不予退还：</w:t>
      </w:r>
    </w:p>
    <w:p w14:paraId="3A24125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（1）提供虚假材料谋取中标、成交的；</w:t>
      </w:r>
    </w:p>
    <w:p w14:paraId="328566C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（2）投标人在招标文件规定的投标有效期内撤销其投标；</w:t>
      </w:r>
    </w:p>
    <w:p w14:paraId="3F2DF08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（3）中标后，无正当理由放弃中标资格；</w:t>
      </w:r>
    </w:p>
    <w:p w14:paraId="7E2CDF4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（4）中标后，无正当理由不与采购人签订合同；</w:t>
      </w:r>
    </w:p>
    <w:p w14:paraId="0C08BF7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（5）法律法规和招标文件规定的其他情形。</w:t>
      </w:r>
    </w:p>
    <w:p w14:paraId="333463B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7.投标有效期</w:t>
      </w:r>
    </w:p>
    <w:p w14:paraId="062B61C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7.1投标有效期内投标人撤销投标文件的，采购人或者采购代理机构可以不退还投标保证金（如有）。采用投标保函方式替代保证金的，采购人或者采购代理机构可以向担保机构索赔保证金。</w:t>
      </w:r>
    </w:p>
    <w:p w14:paraId="19423A5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7.2出现特殊情况需延长投标有效期的，采购人或采购代理机构可于投标有效期满之前要求投标人同意延长有效期，要求与答复均以书面形式通知所有投标人。投标人同意延长的，应相应延长其投标保证金（如有）的有效期，但不得要求或被允许修改或撤销其投标文件；投标人可以拒绝延长有效期，但其投标将会被视为无效，拒绝延长有效期的投标人有权收回其投标保证金（如有）。采用投标保函方式替代保证金的，投标有效期超出保函有效期的，采购人或者采购代理机构应提示投标人重新开函，未获得有效保函的投标人其投标将会被视为无效。</w:t>
      </w:r>
    </w:p>
    <w:p w14:paraId="4237C63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8.样品（演示）</w:t>
      </w:r>
    </w:p>
    <w:p w14:paraId="33A8352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8.1招标文件规定投标人提交样品的，样品属于投标文件的组成部分。样品的生产、运输、安装、保全等一切费用由投标人自理。</w:t>
      </w:r>
    </w:p>
    <w:p w14:paraId="56C17A7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8.2投标截止时间前，投标人应将样品送达至指定地点。若需要现场演示的，投标人应提前做好演示准备（包括演示设备）。</w:t>
      </w:r>
    </w:p>
    <w:p w14:paraId="6F4701D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8.3采购结果公告发布后，中标供应商的样品由采购人封存，作为履约验收的依据之一。未中标供应商在接到采购代理机构通知后，应按规定时间尽快自行取回样品，否则视同供应商不再认领，代理机构有权进行处理。</w:t>
      </w:r>
    </w:p>
    <w:p w14:paraId="46A90EF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9.除招标文件另有规定外，有下列情形之一的，投标无效：</w:t>
      </w:r>
    </w:p>
    <w:p w14:paraId="4EFB9EE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9.1投标文件未按照招标文件要求签署、盖章；</w:t>
      </w:r>
    </w:p>
    <w:p w14:paraId="0CC0843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9.2不符合招标文件中规定的资格要求；</w:t>
      </w:r>
    </w:p>
    <w:p w14:paraId="4A6694A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9.3投标报价超过招标文件中规定的预算金额或最高限价；</w:t>
      </w:r>
    </w:p>
    <w:p w14:paraId="2EE474B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9.4投标文件含有采购人不能接受的附加条件；</w:t>
      </w:r>
    </w:p>
    <w:p w14:paraId="4BC4B4C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9.5有关法律、法规和规章及招标文件规定的其他无效情形。</w:t>
      </w:r>
    </w:p>
    <w:p w14:paraId="5A524C3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六、开标、评标和定标</w:t>
      </w:r>
    </w:p>
    <w:p w14:paraId="161C8DF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1.开标</w:t>
      </w:r>
    </w:p>
    <w:p w14:paraId="45B23A5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bCs w:val="0"/>
          <w:color w:val="auto"/>
          <w:sz w:val="21"/>
          <w:szCs w:val="21"/>
          <w:highlight w:val="none"/>
          <w:lang w:val="en-US" w:eastAsia="zh-Hans"/>
        </w:rPr>
      </w:pPr>
      <w:r>
        <w:rPr>
          <w:rFonts w:hint="eastAsia" w:ascii="宋体" w:hAnsi="宋体" w:eastAsia="宋体" w:cs="宋体"/>
          <w:color w:val="auto"/>
          <w:sz w:val="21"/>
          <w:szCs w:val="21"/>
          <w:highlight w:val="none"/>
        </w:rPr>
        <w:t>1.1 开标程序</w:t>
      </w:r>
    </w:p>
    <w:p w14:paraId="4FA75EB4">
      <w:pPr>
        <w:widowControl/>
        <w:shd w:val="clear"/>
        <w:tabs>
          <w:tab w:val="left" w:pos="753"/>
        </w:tabs>
        <w:adjustRightInd w:val="0"/>
        <w:snapToGrid w:val="0"/>
        <w:spacing w:line="360" w:lineRule="auto"/>
        <w:ind w:left="745" w:leftChars="199" w:hanging="327" w:hangingChars="156"/>
        <w:rPr>
          <w:rFonts w:hint="eastAsia" w:ascii="宋体" w:hAnsi="宋体" w:eastAsia="宋体" w:cs="宋体"/>
          <w:bCs/>
          <w:color w:val="auto"/>
          <w:highlight w:val="none"/>
        </w:rPr>
      </w:pPr>
      <w:r>
        <w:rPr>
          <w:rFonts w:hint="eastAsia" w:ascii="宋体" w:hAnsi="宋体" w:eastAsia="宋体" w:cs="宋体"/>
          <w:bCs/>
          <w:color w:val="auto"/>
          <w:highlight w:val="none"/>
        </w:rPr>
        <w:t>代理采购机构在招标文件中规定的时间和地点公开开标。开标会由代理采购机构主持。投标人</w:t>
      </w:r>
    </w:p>
    <w:p w14:paraId="5FEDFD5D">
      <w:pPr>
        <w:widowControl/>
        <w:shd w:val="clear"/>
        <w:tabs>
          <w:tab w:val="left" w:pos="753"/>
        </w:tabs>
        <w:adjustRightInd w:val="0"/>
        <w:snapToGrid w:val="0"/>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代表均需按时参加开标会。参加开标的投标人代表应签名报到以证明其出席。</w:t>
      </w:r>
    </w:p>
    <w:p w14:paraId="22B988DD">
      <w:pPr>
        <w:widowControl/>
        <w:shd w:val="clear"/>
        <w:tabs>
          <w:tab w:val="left" w:pos="753"/>
        </w:tabs>
        <w:adjustRightInd w:val="0"/>
        <w:snapToGrid w:val="0"/>
        <w:spacing w:line="360" w:lineRule="auto"/>
        <w:ind w:left="745" w:leftChars="199" w:hanging="327" w:hangingChars="156"/>
        <w:rPr>
          <w:rFonts w:hint="eastAsia" w:ascii="宋体" w:hAnsi="宋体" w:eastAsia="宋体" w:cs="宋体"/>
          <w:bCs/>
          <w:color w:val="auto"/>
          <w:highlight w:val="none"/>
        </w:rPr>
      </w:pPr>
      <w:r>
        <w:rPr>
          <w:rFonts w:hint="eastAsia" w:ascii="宋体" w:hAnsi="宋体" w:eastAsia="宋体" w:cs="宋体"/>
          <w:bCs/>
          <w:color w:val="auto"/>
          <w:highlight w:val="none"/>
        </w:rPr>
        <w:t>开标时，由采购监督员或投标人代表检查投标文件的密封情况，并宣布检查结果，经确认</w:t>
      </w:r>
    </w:p>
    <w:p w14:paraId="6C2A3F32">
      <w:pPr>
        <w:widowControl/>
        <w:shd w:val="clear"/>
        <w:tabs>
          <w:tab w:val="left" w:pos="753"/>
        </w:tabs>
        <w:adjustRightInd w:val="0"/>
        <w:snapToGrid w:val="0"/>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无误后，由工作人员当众拆封唱标。唱标主要内容为投标文件正本中的“开标一览表”的内容以及代理采购机构认为合适的其他内容。</w:t>
      </w:r>
    </w:p>
    <w:p w14:paraId="22797C57">
      <w:pPr>
        <w:widowControl/>
        <w:shd w:val="clear"/>
        <w:tabs>
          <w:tab w:val="left" w:pos="753"/>
        </w:tabs>
        <w:adjustRightInd w:val="0"/>
        <w:snapToGrid w:val="0"/>
        <w:spacing w:line="360" w:lineRule="auto"/>
        <w:ind w:left="745" w:leftChars="199" w:hanging="327" w:hangingChars="156"/>
        <w:rPr>
          <w:rFonts w:hint="eastAsia" w:ascii="宋体" w:hAnsi="宋体" w:eastAsia="宋体" w:cs="宋体"/>
          <w:bCs/>
          <w:color w:val="auto"/>
          <w:highlight w:val="none"/>
        </w:rPr>
      </w:pPr>
      <w:r>
        <w:rPr>
          <w:rFonts w:hint="eastAsia" w:ascii="宋体" w:hAnsi="宋体" w:eastAsia="宋体" w:cs="宋体"/>
          <w:bCs/>
          <w:color w:val="auto"/>
          <w:highlight w:val="none"/>
        </w:rPr>
        <w:t>在投标截止之前收到的所有投标文件，开标时都应当众拆封并宣读。在开标时没有当众拆封和</w:t>
      </w:r>
    </w:p>
    <w:p w14:paraId="09C920D4">
      <w:pPr>
        <w:widowControl/>
        <w:shd w:val="clear"/>
        <w:tabs>
          <w:tab w:val="left" w:pos="753"/>
        </w:tabs>
        <w:adjustRightInd w:val="0"/>
        <w:snapToGrid w:val="0"/>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宣读的投标文件在评标时将不予考虑。提交了可接受的“撤回”通知的投标文件将不予拆封。</w:t>
      </w:r>
    </w:p>
    <w:p w14:paraId="566D7CFB">
      <w:pPr>
        <w:widowControl/>
        <w:shd w:val="clear"/>
        <w:tabs>
          <w:tab w:val="left" w:pos="753"/>
        </w:tabs>
        <w:adjustRightInd w:val="0"/>
        <w:snapToGrid w:val="0"/>
        <w:spacing w:line="360" w:lineRule="auto"/>
        <w:ind w:left="745" w:leftChars="199" w:hanging="327" w:hangingChars="156"/>
        <w:rPr>
          <w:rFonts w:hint="eastAsia" w:ascii="宋体" w:hAnsi="宋体" w:eastAsia="宋体" w:cs="宋体"/>
          <w:color w:val="auto"/>
          <w:sz w:val="21"/>
          <w:szCs w:val="21"/>
          <w:highlight w:val="none"/>
        </w:rPr>
      </w:pPr>
      <w:r>
        <w:rPr>
          <w:rFonts w:hint="eastAsia" w:ascii="宋体" w:hAnsi="宋体" w:eastAsia="宋体" w:cs="宋体"/>
          <w:bCs/>
          <w:color w:val="auto"/>
          <w:highlight w:val="none"/>
        </w:rPr>
        <w:t>唱标结束后，代理采购机构将做唱标记录，并按规定在唱标记录上签字。</w:t>
      </w:r>
    </w:p>
    <w:p w14:paraId="2B650B2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1.2开标异议</w:t>
      </w:r>
    </w:p>
    <w:p w14:paraId="54D4B53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投标人代表对开标过程和开标记录有疑义，以及认为采购人、采购代理机构相关工作人员有需要回避的情形的，应当场提出询问或者回避申请。投标人未参加开标的，视同认可开标结果。</w:t>
      </w:r>
    </w:p>
    <w:p w14:paraId="03B1B2E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 投标截止时间后，投标人不足须知前附表中约定的有效供应商家数的，不得开标。同时，本次采购活动结束。</w:t>
      </w:r>
    </w:p>
    <w:p w14:paraId="55F9B84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1.4开标时出现下列情况的，视为投标无效处理：</w:t>
      </w:r>
    </w:p>
    <w:p w14:paraId="1797A0A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（1）经检查</w:t>
      </w:r>
      <w:r>
        <w:rPr>
          <w:rFonts w:hint="eastAsia" w:ascii="宋体" w:hAnsi="宋体" w:eastAsia="宋体" w:cs="宋体"/>
          <w:color w:val="auto"/>
          <w:sz w:val="21"/>
          <w:szCs w:val="21"/>
          <w:highlight w:val="none"/>
          <w:lang w:val="en-US" w:eastAsia="zh-CN"/>
        </w:rPr>
        <w:t>投标文件</w:t>
      </w:r>
      <w:r>
        <w:rPr>
          <w:rFonts w:hint="eastAsia" w:ascii="宋体" w:hAnsi="宋体" w:eastAsia="宋体" w:cs="宋体"/>
          <w:color w:val="auto"/>
          <w:sz w:val="21"/>
          <w:szCs w:val="21"/>
          <w:highlight w:val="none"/>
        </w:rPr>
        <w:t>无效的；</w:t>
      </w:r>
    </w:p>
    <w:p w14:paraId="06C7488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（2）因投标人自身原因，未在规定时间内</w:t>
      </w:r>
      <w:r>
        <w:rPr>
          <w:rFonts w:hint="eastAsia" w:ascii="宋体" w:hAnsi="宋体" w:eastAsia="宋体" w:cs="宋体"/>
          <w:color w:val="auto"/>
          <w:sz w:val="21"/>
          <w:szCs w:val="21"/>
          <w:highlight w:val="none"/>
          <w:lang w:val="en-US" w:eastAsia="zh-CN"/>
        </w:rPr>
        <w:t>递交投标文件</w:t>
      </w:r>
      <w:r>
        <w:rPr>
          <w:rFonts w:hint="eastAsia" w:ascii="宋体" w:hAnsi="宋体" w:eastAsia="宋体" w:cs="宋体"/>
          <w:color w:val="auto"/>
          <w:sz w:val="21"/>
          <w:szCs w:val="21"/>
          <w:highlight w:val="none"/>
        </w:rPr>
        <w:t>；</w:t>
      </w:r>
    </w:p>
    <w:p w14:paraId="30912D0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2.评审（详见第四章）</w:t>
      </w:r>
    </w:p>
    <w:p w14:paraId="1E2F713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3.定标</w:t>
      </w:r>
    </w:p>
    <w:p w14:paraId="1EA8C93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3.1中标公告：</w:t>
      </w:r>
    </w:p>
    <w:p w14:paraId="3C484CD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中标供应商确定之日起2个工作日内， 采购代理机构将在</w:t>
      </w:r>
      <w:r>
        <w:rPr>
          <w:rFonts w:hint="eastAsia" w:ascii="宋体" w:hAnsi="宋体" w:eastAsia="宋体" w:cs="宋体"/>
          <w:color w:val="auto"/>
          <w:sz w:val="21"/>
          <w:szCs w:val="21"/>
          <w:highlight w:val="none"/>
          <w:lang w:val="en-US" w:eastAsia="zh-CN"/>
        </w:rPr>
        <w:t>公示媒体</w:t>
      </w:r>
      <w:r>
        <w:rPr>
          <w:rFonts w:hint="eastAsia" w:ascii="宋体" w:hAnsi="宋体" w:eastAsia="宋体" w:cs="宋体"/>
          <w:color w:val="auto"/>
          <w:sz w:val="21"/>
          <w:szCs w:val="21"/>
          <w:highlight w:val="none"/>
        </w:rPr>
        <w:t>上以公告的形式发布中标结果，中标公告的公告期限为 1 个工作日。中标公告同时作为采购代理机构通知除中标供应商外的其他投标人没有中标的书面形式，采购代理机构不再以其它方式另行通知。</w:t>
      </w:r>
    </w:p>
    <w:p w14:paraId="63FFF66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3.2中标通知书：</w:t>
      </w:r>
    </w:p>
    <w:p w14:paraId="32FEC6F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中标通知书在发布中标公告时，</w:t>
      </w:r>
      <w:r>
        <w:rPr>
          <w:rFonts w:hint="eastAsia" w:ascii="宋体" w:hAnsi="宋体" w:eastAsia="宋体" w:cs="宋体"/>
          <w:color w:val="auto"/>
          <w:sz w:val="21"/>
          <w:szCs w:val="21"/>
          <w:highlight w:val="none"/>
          <w:lang w:val="en-US" w:eastAsia="zh-CN"/>
        </w:rPr>
        <w:t>同时发出</w:t>
      </w:r>
      <w:r>
        <w:rPr>
          <w:rFonts w:hint="eastAsia" w:ascii="宋体" w:hAnsi="宋体" w:eastAsia="宋体" w:cs="宋体"/>
          <w:color w:val="auto"/>
          <w:sz w:val="21"/>
          <w:szCs w:val="21"/>
          <w:highlight w:val="none"/>
        </w:rPr>
        <w:t>《中标通知书》，《中标通知书》将作为授予合同资格的唯一合法依据。中标通知书发出后，采购人不得违法改变中标结果，中标供应商不得放弃中标。中标供应商放弃中标的，应当依法承担相应的法律责任。</w:t>
      </w:r>
    </w:p>
    <w:p w14:paraId="0F31D75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3.3终止公告：</w:t>
      </w:r>
    </w:p>
    <w:p w14:paraId="1083F1E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项目废标后，采购代理机构将在</w:t>
      </w:r>
      <w:r>
        <w:rPr>
          <w:rFonts w:hint="eastAsia" w:ascii="宋体" w:hAnsi="宋体" w:eastAsia="宋体" w:cs="宋体"/>
          <w:color w:val="auto"/>
          <w:sz w:val="21"/>
          <w:szCs w:val="21"/>
          <w:highlight w:val="none"/>
          <w:lang w:val="en-US" w:eastAsia="zh-CN"/>
        </w:rPr>
        <w:t>公示媒体</w:t>
      </w:r>
      <w:r>
        <w:rPr>
          <w:rFonts w:hint="eastAsia" w:ascii="宋体" w:hAnsi="宋体" w:eastAsia="宋体" w:cs="宋体"/>
          <w:color w:val="auto"/>
          <w:sz w:val="21"/>
          <w:szCs w:val="21"/>
          <w:highlight w:val="none"/>
        </w:rPr>
        <w:t>上发布终止公告，终止公告的公告期限为1个工作日。</w:t>
      </w:r>
    </w:p>
    <w:p w14:paraId="7691CEC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七、询问、质疑与投诉</w:t>
      </w:r>
    </w:p>
    <w:p w14:paraId="6586F6C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1.询问</w:t>
      </w:r>
    </w:p>
    <w:p w14:paraId="5171751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对政府采购活动事项（招标文件、采购过程和中标结果）有疑问的，可以向采购人或采购代理机构提出询问，采购人或采购代理机构将及时作出答复，但答复的内容不涉及商业秘密。询问可以口头方式提出，也可以书面方式提出，书面方式包括但不限于传真、信函、电子邮件。联系方式见《投标邀请函》中“采购人、采购代理机构的名称、地址和联系方式”。</w:t>
      </w:r>
    </w:p>
    <w:p w14:paraId="7D00F53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2.质疑</w:t>
      </w:r>
    </w:p>
    <w:p w14:paraId="2A9F525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2.1供应商认为招标文件、采购过程和中标结果使自己的权益受到损害的，可以在知道或者应知其权益受到损害之日起七个工作日内，以书面原件形式向采购人或采购代理机构一次性提出针对同一采购程序环节的质疑，逾期质疑无效。供应商应知其权益受到损害之日是指：</w:t>
      </w:r>
    </w:p>
    <w:p w14:paraId="3FE9E06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(1)对招标文件提出质疑的，为获取招标文件之日或者招标文件公告期限届满之日；</w:t>
      </w:r>
    </w:p>
    <w:p w14:paraId="4C3A485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(2)对采购过程提出质疑的，为各采购程序环节结束之日；</w:t>
      </w:r>
    </w:p>
    <w:p w14:paraId="1E3D9DD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(3)对中标结果提出质疑的，为中标结果公告期限届满之日。</w:t>
      </w:r>
    </w:p>
    <w:p w14:paraId="1C3C04C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2.2质疑函应当包括下列主要内容：</w:t>
      </w:r>
    </w:p>
    <w:p w14:paraId="75EE0AE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(1)质疑供应商和相关供应商的名称、地址、邮编、联系人及联系电话等；</w:t>
      </w:r>
    </w:p>
    <w:p w14:paraId="2C5B76A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(2)质疑项目名称及编号、具体明确的质疑事项和与质疑事项相关的请求；</w:t>
      </w:r>
    </w:p>
    <w:p w14:paraId="0D458D5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(3)认为采购文件、采购过程、中标和成交结果使自己的合法权益受到损害的法律依据、事实依据、相关证明材料及证据来源；</w:t>
      </w:r>
    </w:p>
    <w:p w14:paraId="1230042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(4)提出质疑的日期。</w:t>
      </w:r>
    </w:p>
    <w:p w14:paraId="30CA1F1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 质疑函应当署名。质疑供应商为自然人的，应当由本人签字；质疑供应商为法人或者其他组织的，应当由法定代表人、主要负责人，或者其授权代表签字或者盖章，并加盖公章。</w:t>
      </w:r>
    </w:p>
    <w:p w14:paraId="5FF2DFC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2.4以联合体形式参加政府采购活动的，其质疑应当由联合体成员委托主体提出。</w:t>
      </w:r>
    </w:p>
    <w:p w14:paraId="0334685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2.5供应商质疑应当有明确的请求和必要的证明材料。质疑内容不得含有虚假、恶意成份。依照谁主张谁举证的原则，提出质疑者必须同时提交相关确凿的证据材料和注明证据的确切来源，证据来源必须合法，采购人或采购代理机构有权将质疑函转发质疑事项各关联方，请其作出解释说明。对捏造事实、滥用维权扰乱采购秩序的恶意质疑者，将上报政府采购监督管理部门依法处理。</w:t>
      </w:r>
    </w:p>
    <w:p w14:paraId="0F90B6F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2.6质疑联系方式如下：</w:t>
      </w:r>
    </w:p>
    <w:p w14:paraId="4986CEF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质疑联系人：</w:t>
      </w:r>
      <w:r>
        <w:rPr>
          <w:rFonts w:hint="eastAsia" w:ascii="宋体" w:hAnsi="宋体" w:eastAsia="宋体" w:cs="宋体"/>
          <w:color w:val="auto"/>
          <w:sz w:val="21"/>
          <w:szCs w:val="21"/>
          <w:highlight w:val="none"/>
          <w:lang w:val="en-US" w:eastAsia="zh-CN"/>
        </w:rPr>
        <w:t>胡</w:t>
      </w:r>
      <w:r>
        <w:rPr>
          <w:rFonts w:hint="eastAsia" w:ascii="宋体" w:hAnsi="宋体" w:eastAsia="宋体" w:cs="宋体"/>
          <w:color w:val="auto"/>
          <w:sz w:val="21"/>
          <w:szCs w:val="21"/>
          <w:highlight w:val="none"/>
        </w:rPr>
        <w:t>工</w:t>
      </w:r>
    </w:p>
    <w:p w14:paraId="422FF17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电话：</w:t>
      </w:r>
      <w:r>
        <w:rPr>
          <w:rFonts w:hint="eastAsia" w:ascii="宋体" w:hAnsi="宋体" w:eastAsia="宋体" w:cs="宋体"/>
          <w:b w:val="0"/>
          <w:bCs/>
          <w:color w:val="auto"/>
          <w:sz w:val="21"/>
          <w:szCs w:val="21"/>
          <w:highlight w:val="none"/>
          <w:lang w:eastAsia="zh-CN"/>
        </w:rPr>
        <w:t>18023863877</w:t>
      </w:r>
    </w:p>
    <w:p w14:paraId="7101371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传真：/</w:t>
      </w:r>
    </w:p>
    <w:p w14:paraId="7E3D5EF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color w:val="auto"/>
          <w:sz w:val="21"/>
          <w:szCs w:val="21"/>
          <w:highlight w:val="none"/>
          <w:u w:val="none"/>
          <w:lang w:val="en-US" w:eastAsia="zh-CN"/>
        </w:rPr>
      </w:pPr>
      <w:r>
        <w:rPr>
          <w:rFonts w:hint="eastAsia" w:ascii="宋体" w:hAnsi="宋体" w:eastAsia="宋体" w:cs="宋体"/>
          <w:b w:val="0"/>
          <w:bCs/>
          <w:color w:val="auto"/>
          <w:sz w:val="21"/>
          <w:szCs w:val="21"/>
          <w:highlight w:val="none"/>
        </w:rPr>
        <w:t>邮箱：</w:t>
      </w:r>
      <w:r>
        <w:rPr>
          <w:rFonts w:hint="eastAsia" w:ascii="宋体" w:hAnsi="宋体" w:eastAsia="宋体" w:cs="宋体"/>
          <w:b w:val="0"/>
          <w:bCs/>
          <w:color w:val="auto"/>
          <w:sz w:val="21"/>
          <w:szCs w:val="21"/>
          <w:highlight w:val="none"/>
          <w:u w:val="none"/>
          <w:lang w:val="en-US" w:eastAsia="zh-CN"/>
        </w:rPr>
        <w:fldChar w:fldCharType="begin"/>
      </w:r>
      <w:r>
        <w:rPr>
          <w:rFonts w:hint="eastAsia" w:ascii="宋体" w:hAnsi="宋体" w:eastAsia="宋体" w:cs="宋体"/>
          <w:b w:val="0"/>
          <w:bCs/>
          <w:color w:val="auto"/>
          <w:sz w:val="21"/>
          <w:szCs w:val="21"/>
          <w:highlight w:val="none"/>
          <w:u w:val="none"/>
          <w:lang w:val="en-US" w:eastAsia="zh-CN"/>
        </w:rPr>
        <w:instrText xml:space="preserve"> HYPERLINK "mailto:1595975525@qq.com" </w:instrText>
      </w:r>
      <w:r>
        <w:rPr>
          <w:rFonts w:hint="eastAsia" w:ascii="宋体" w:hAnsi="宋体" w:eastAsia="宋体" w:cs="宋体"/>
          <w:b w:val="0"/>
          <w:bCs/>
          <w:color w:val="auto"/>
          <w:sz w:val="21"/>
          <w:szCs w:val="21"/>
          <w:highlight w:val="none"/>
          <w:u w:val="none"/>
          <w:lang w:val="en-US" w:eastAsia="zh-CN"/>
        </w:rPr>
        <w:fldChar w:fldCharType="separate"/>
      </w:r>
      <w:r>
        <w:rPr>
          <w:rStyle w:val="140"/>
          <w:rFonts w:hint="eastAsia" w:ascii="宋体" w:hAnsi="宋体" w:eastAsia="宋体" w:cs="宋体"/>
          <w:b w:val="0"/>
          <w:bCs/>
          <w:color w:val="auto"/>
          <w:sz w:val="21"/>
          <w:szCs w:val="21"/>
          <w:highlight w:val="none"/>
          <w:lang w:val="en-US" w:eastAsia="zh-CN"/>
        </w:rPr>
        <w:t>1595975525@qq.com</w:t>
      </w:r>
      <w:r>
        <w:rPr>
          <w:rFonts w:hint="eastAsia" w:ascii="宋体" w:hAnsi="宋体" w:eastAsia="宋体" w:cs="宋体"/>
          <w:b w:val="0"/>
          <w:bCs/>
          <w:color w:val="auto"/>
          <w:sz w:val="21"/>
          <w:szCs w:val="21"/>
          <w:highlight w:val="none"/>
          <w:u w:val="none"/>
          <w:lang w:val="en-US" w:eastAsia="zh-CN"/>
        </w:rPr>
        <w:fldChar w:fldCharType="end"/>
      </w:r>
    </w:p>
    <w:p w14:paraId="710234F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color w:val="auto"/>
          <w:sz w:val="21"/>
          <w:szCs w:val="21"/>
          <w:highlight w:val="none"/>
          <w:lang w:eastAsia="zh-CN"/>
        </w:rPr>
      </w:pPr>
      <w:r>
        <w:rPr>
          <w:rFonts w:hint="eastAsia" w:ascii="宋体" w:hAnsi="宋体" w:eastAsia="宋体" w:cs="宋体"/>
          <w:b w:val="0"/>
          <w:bCs/>
          <w:color w:val="auto"/>
          <w:sz w:val="21"/>
          <w:szCs w:val="21"/>
          <w:highlight w:val="none"/>
        </w:rPr>
        <w:t>地址：</w:t>
      </w:r>
      <w:r>
        <w:rPr>
          <w:rFonts w:hint="eastAsia" w:ascii="宋体" w:hAnsi="宋体" w:eastAsia="宋体" w:cs="宋体"/>
          <w:b w:val="0"/>
          <w:bCs/>
          <w:color w:val="auto"/>
          <w:sz w:val="21"/>
          <w:szCs w:val="21"/>
          <w:highlight w:val="none"/>
          <w:lang w:eastAsia="zh-CN"/>
        </w:rPr>
        <w:t>阳江市阳东区东城镇兴宁大道97号六楼</w:t>
      </w:r>
    </w:p>
    <w:p w14:paraId="101F2E6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b w:val="0"/>
          <w:bCs/>
          <w:color w:val="auto"/>
          <w:sz w:val="21"/>
          <w:szCs w:val="21"/>
          <w:highlight w:val="none"/>
        </w:rPr>
      </w:pPr>
      <w:r>
        <w:rPr>
          <w:rFonts w:hint="eastAsia" w:ascii="宋体" w:hAnsi="宋体" w:eastAsia="宋体" w:cs="宋体"/>
          <w:b w:val="0"/>
          <w:bCs/>
          <w:color w:val="auto"/>
          <w:sz w:val="21"/>
          <w:szCs w:val="21"/>
          <w:highlight w:val="none"/>
        </w:rPr>
        <w:t>邮编：529500</w:t>
      </w:r>
    </w:p>
    <w:p w14:paraId="27DB1FD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八、合同签订和履行</w:t>
      </w:r>
    </w:p>
    <w:p w14:paraId="78BC0CC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1.合同签订</w:t>
      </w:r>
    </w:p>
    <w:p w14:paraId="4709A11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1.1采购人应当自《中标通知书》发出之日起三十日内，按照招标文件和中标供应商投标文件的约定，与中标供应商签订合同。所签订的合同不得对招标文件和中标供应商投标文件作实质性修改。</w:t>
      </w:r>
    </w:p>
    <w:p w14:paraId="2DCFE98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1.2采购人不得提出试用合格等任何不合理的要求作为签订合同的条件，且不得与中标供应商私下订立背离合同实质性内容的协议。</w:t>
      </w:r>
    </w:p>
    <w:p w14:paraId="60898EA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1.3合同条款中应规定，乙方完全遵守《中华人民共和国民法典》有关规定和《中华人民共和国妇女权益保障法》中关于“劳动和社会保障权益”的有关要求。</w:t>
      </w:r>
    </w:p>
    <w:p w14:paraId="2477806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2.合同的履行</w:t>
      </w:r>
    </w:p>
    <w:p w14:paraId="694F73A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2.1政府采购合同订立后，合同各方不得擅自变更、中止或者终止合同。</w:t>
      </w:r>
    </w:p>
    <w:p w14:paraId="580C085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2.2政府采购合同履行中，采购人需追加与合同标的相同的货物、工程或者服务的，在不改变合同其他条款的前提下，可以与成交供应商签订补充合同，但所补充合同的采购金额不得超过原采购金额的10%。依法签订的补充合同。</w:t>
      </w:r>
    </w:p>
    <w:p w14:paraId="535955B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21"/>
          <w:szCs w:val="21"/>
          <w:highlight w:val="none"/>
        </w:rPr>
      </w:pPr>
      <w:r>
        <w:rPr>
          <w:rFonts w:hint="eastAsia" w:ascii="宋体" w:hAnsi="宋体" w:eastAsia="宋体" w:cs="宋体"/>
          <w:color w:val="auto"/>
          <w:sz w:val="21"/>
          <w:szCs w:val="21"/>
          <w:highlight w:val="none"/>
        </w:rPr>
        <w:t xml:space="preserve">  </w:t>
      </w:r>
    </w:p>
    <w:p w14:paraId="50B24A5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第四章 评标</w:t>
      </w:r>
    </w:p>
    <w:p w14:paraId="4D6611C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一、评标要求</w:t>
      </w:r>
    </w:p>
    <w:p w14:paraId="301AE48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1.评标方法</w:t>
      </w:r>
    </w:p>
    <w:p w14:paraId="03D4712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)：综合评分法,是指投标文件满足招标文件全部实质性要求，且按照评审因素的量化指标评审得分最高的投标人为中标候选人的评标方法。（最低报价不是中标的唯一依据。）</w:t>
      </w:r>
    </w:p>
    <w:p w14:paraId="6CCD39B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2.评标原则</w:t>
      </w:r>
    </w:p>
    <w:p w14:paraId="508BAF5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2.1评标活动遵循公平、公正、科学和择优的原则，以招标文件和投标文件为评标的基本依据，并按照招标文件规定的评标方法和评标标准进行评标。</w:t>
      </w:r>
    </w:p>
    <w:p w14:paraId="55B6C3C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2.2具体评标事项由评标委员会负责，并按招标文件的规定办法进行评审。</w:t>
      </w:r>
    </w:p>
    <w:p w14:paraId="3508884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2.3合格投标人不足须知前附表中约定的有效供应商家数的，不得评标。</w:t>
      </w:r>
    </w:p>
    <w:p w14:paraId="7A9723C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3.评标委员会</w:t>
      </w:r>
    </w:p>
    <w:p w14:paraId="3FB024D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3.1评标委员会</w:t>
      </w:r>
      <w:r>
        <w:rPr>
          <w:rFonts w:hint="eastAsia" w:ascii="宋体" w:hAnsi="宋体" w:eastAsia="宋体" w:cs="宋体"/>
          <w:color w:val="auto"/>
          <w:sz w:val="21"/>
          <w:szCs w:val="21"/>
          <w:highlight w:val="none"/>
          <w:lang w:val="en-US" w:eastAsia="zh-CN"/>
        </w:rPr>
        <w:t>参考政府采购相关法规</w:t>
      </w:r>
      <w:r>
        <w:rPr>
          <w:rFonts w:hint="eastAsia" w:ascii="宋体" w:hAnsi="宋体" w:eastAsia="宋体" w:cs="宋体"/>
          <w:color w:val="auto"/>
          <w:sz w:val="21"/>
          <w:szCs w:val="21"/>
          <w:highlight w:val="none"/>
        </w:rPr>
        <w:t>组成，成员人数应当为5人及以上单数，其中评审专家不得少于成员总数的三分之二。</w:t>
      </w:r>
    </w:p>
    <w:p w14:paraId="41FCA6D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3.2评标应遵守下列评标纪律：</w:t>
      </w:r>
    </w:p>
    <w:p w14:paraId="7F34939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（1）评标情况不得私自外泄，有关信息由</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统一对外发布。</w:t>
      </w:r>
    </w:p>
    <w:p w14:paraId="2B382AB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w:t>
      </w:r>
      <w:r>
        <w:rPr>
          <w:rFonts w:hint="eastAsia" w:ascii="宋体" w:hAnsi="宋体" w:eastAsia="宋体" w:cs="宋体"/>
          <w:color w:val="auto"/>
          <w:sz w:val="21"/>
          <w:szCs w:val="21"/>
          <w:highlight w:val="none"/>
          <w:lang w:eastAsia="zh-CN"/>
        </w:rPr>
        <w:t>阳江市投源招标采购有限公司</w:t>
      </w:r>
      <w:r>
        <w:rPr>
          <w:rFonts w:hint="eastAsia" w:ascii="宋体" w:hAnsi="宋体" w:eastAsia="宋体" w:cs="宋体"/>
          <w:color w:val="auto"/>
          <w:sz w:val="21"/>
          <w:szCs w:val="21"/>
          <w:highlight w:val="none"/>
        </w:rPr>
        <w:t>或投标人提供的要求保密的资料，不得摘记翻印和外传。</w:t>
      </w:r>
    </w:p>
    <w:p w14:paraId="4261691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（3）不得收受投标供应商或有关人员的任何礼物，不得串联鼓动其他人袒护某投标人。若与投标人存在利害关系，则应主动声明并回避。</w:t>
      </w:r>
    </w:p>
    <w:p w14:paraId="7B56967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（4）全体评委应按照招标文件规定进行评标，一切认定事项应查有实据且不得弄虚作假。</w:t>
      </w:r>
    </w:p>
    <w:p w14:paraId="723F57C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（5）评标委员会各成员应当独立对每个投标人的投标文件进行评价，并对评价意见承担个人责任。评审过程中，不得发表倾向性言论。</w:t>
      </w:r>
    </w:p>
    <w:p w14:paraId="20526E2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※对违反评标纪律的评委，将取消其评委资格，对评标工作造成严重损失者将予以通报批评乃至追究法律责任。</w:t>
      </w:r>
    </w:p>
    <w:p w14:paraId="3BADEDC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4.有下列情形之一的，视为投标人串通投标，其投标无效；</w:t>
      </w:r>
    </w:p>
    <w:p w14:paraId="365E45C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4.1不同投标人的投标文件由同一单位或者个人编制；</w:t>
      </w:r>
    </w:p>
    <w:p w14:paraId="664779C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4.2不同投标人委托同一单位或者个人办理投标事宜；</w:t>
      </w:r>
    </w:p>
    <w:p w14:paraId="025A02A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4.3不同投标人的投标文件载明的项目管理成员或者联系人员为同一人；</w:t>
      </w:r>
    </w:p>
    <w:p w14:paraId="4FA85CC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4.4不同投标人的投标文件异常一致或者投标报价呈规律性差异；</w:t>
      </w:r>
    </w:p>
    <w:p w14:paraId="7622C78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4.5不同投标人的投标文件相互混装；</w:t>
      </w:r>
    </w:p>
    <w:p w14:paraId="0CA0A1B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4.6不同投标人的投标保证金或购买电子保函支付款为从同一单位或个人的账户转出；</w:t>
      </w:r>
    </w:p>
    <w:p w14:paraId="01FD8D7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4.7投标人的投标文件加盖该项目的其他投标人的</w:t>
      </w:r>
      <w:r>
        <w:rPr>
          <w:rFonts w:hint="eastAsia" w:ascii="宋体" w:hAnsi="宋体" w:eastAsia="宋体" w:cs="宋体"/>
          <w:color w:val="auto"/>
          <w:sz w:val="21"/>
          <w:szCs w:val="21"/>
          <w:highlight w:val="none"/>
          <w:lang w:val="en-US" w:eastAsia="zh-CN"/>
        </w:rPr>
        <w:t>公章</w:t>
      </w:r>
      <w:r>
        <w:rPr>
          <w:rFonts w:hint="eastAsia" w:ascii="宋体" w:hAnsi="宋体" w:eastAsia="宋体" w:cs="宋体"/>
          <w:color w:val="auto"/>
          <w:sz w:val="21"/>
          <w:szCs w:val="21"/>
          <w:highlight w:val="none"/>
        </w:rPr>
        <w:t>的。</w:t>
      </w:r>
    </w:p>
    <w:p w14:paraId="287D7AD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说明：在评标过程中发现投标人有上述情形的，评标委员会应当认定其投标无效。同时，项目评审时被认定为串通投标的投标人不得参加该合同项下的采购活动。</w:t>
      </w:r>
    </w:p>
    <w:p w14:paraId="5280A8B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5.投标无效的情形</w:t>
      </w:r>
    </w:p>
    <w:p w14:paraId="268A728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详见资格性审查、符合性审查和招标文件其他投标无效条款。</w:t>
      </w:r>
    </w:p>
    <w:p w14:paraId="0896760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6.定标</w:t>
      </w:r>
    </w:p>
    <w:p w14:paraId="0499ADF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评标委员会按照招标文件确定的评标方法、步骤、标准，对投标文件进行评审。评标结束后，对投标人的评审名次进行排序，确定中标供应商或者推荐中标候选人。</w:t>
      </w:r>
    </w:p>
    <w:p w14:paraId="632D851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7.价格修正</w:t>
      </w:r>
    </w:p>
    <w:p w14:paraId="6055094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对报价的计算错误按以下原则修正：</w:t>
      </w:r>
    </w:p>
    <w:p w14:paraId="514920D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（1）投标文件中开标一览表内容与投标文件中相应内容不一致的，以开标一览表为准；</w:t>
      </w:r>
    </w:p>
    <w:p w14:paraId="4BDBE32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（2）大写金额和小写金额不一致的，以大写金额为准；</w:t>
      </w:r>
    </w:p>
    <w:p w14:paraId="1A09873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（3）单价金额小数点或者百分比有明显错位的，以开标一览表的总价为准，并修改单价。</w:t>
      </w:r>
    </w:p>
    <w:p w14:paraId="3ADFD32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（4）总价金额与按单价汇总金额不一致的，以单价金额计算结果为准。但是单价金额计算结果超过预算价的，对其按无效投标处理。</w:t>
      </w:r>
    </w:p>
    <w:p w14:paraId="06E15D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注：同时出现两种以上不一致的，按照前款规定的顺序在系统上进行价格澄清。澄清后的价格加盖</w:t>
      </w:r>
      <w:r>
        <w:rPr>
          <w:rFonts w:hint="eastAsia" w:ascii="宋体" w:hAnsi="宋体" w:eastAsia="宋体" w:cs="宋体"/>
          <w:color w:val="auto"/>
          <w:sz w:val="21"/>
          <w:szCs w:val="21"/>
          <w:highlight w:val="none"/>
          <w:lang w:val="en-US" w:eastAsia="zh-CN"/>
        </w:rPr>
        <w:t>公章</w:t>
      </w:r>
      <w:r>
        <w:rPr>
          <w:rFonts w:hint="eastAsia" w:ascii="宋体" w:hAnsi="宋体" w:eastAsia="宋体" w:cs="宋体"/>
          <w:color w:val="auto"/>
          <w:sz w:val="21"/>
          <w:szCs w:val="21"/>
          <w:highlight w:val="none"/>
        </w:rPr>
        <w:t>确认后产生约束力，但不得超出投标文件的范围或者改变投标文件的实质性内容，投标人不确认的，其投标无效。</w:t>
      </w:r>
    </w:p>
    <w:p w14:paraId="6BFAB38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二.政府采购政策落实</w:t>
      </w:r>
    </w:p>
    <w:p w14:paraId="7690B82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1.节能、环保要求</w:t>
      </w:r>
    </w:p>
    <w:p w14:paraId="3C1723D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采购的产品属于品目清单范围的，将依据国家确定的认证机构出具的、处于有效期之内的节能产品、环境标志产品认证证书，对获得证书的产品实施政府优先采购或强制采购，具体按照本招标文件相关要求执行。</w:t>
      </w:r>
    </w:p>
    <w:p w14:paraId="0EE4310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相关认证机构和获证产品信息以市场监管总局组织建立的节能产品、环境标志产品认证结果信息发布平台公布为准。</w:t>
      </w:r>
    </w:p>
    <w:p w14:paraId="0B6D76A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2.对符合本国产品标准的产品给予价格扣除</w:t>
      </w:r>
    </w:p>
    <w:p w14:paraId="39F14CB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国务院办公厅关于在政府采购中实施本国产品标准及相关政策的通知》（国办发〔2025〕34号）及《财政部关于贯彻落实&lt;国务院办公厅关于在政府采购中实施本国产品标准及相关政策的通知&gt;的意见》（财库〔2025〕30号）等相关规定。</w:t>
      </w:r>
    </w:p>
    <w:p w14:paraId="0B0F6C48">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b/>
          <w:color w:val="auto"/>
          <w:sz w:val="21"/>
          <w:szCs w:val="21"/>
          <w:highlight w:val="none"/>
        </w:rPr>
        <w:t>本国产品标准的适用范围</w:t>
      </w:r>
      <w:r>
        <w:rPr>
          <w:rFonts w:hint="eastAsia" w:ascii="宋体" w:hAnsi="宋体" w:eastAsia="宋体" w:cs="宋体"/>
          <w:color w:val="auto"/>
          <w:sz w:val="21"/>
          <w:szCs w:val="21"/>
          <w:highlight w:val="none"/>
        </w:rPr>
        <w:t>。本国产品标准适用于货物，包括政府采购货物项目和服务项目中涉及的货物。适用本国产品标准的货物具体是指《政府采购品目分类目录》中的货物类产品，但不包括其中的房屋和构筑物，文物和陈列品，图书和档案，特种动植物，农林牧渔业产品，矿与矿物，电力、城市燃气、蒸汽和热水、水，食品、饮料和烟草原料，无形资产。</w:t>
      </w:r>
    </w:p>
    <w:p w14:paraId="1D64B4E5">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b/>
          <w:color w:val="auto"/>
          <w:sz w:val="21"/>
          <w:szCs w:val="21"/>
          <w:highlight w:val="none"/>
        </w:rPr>
        <w:t>准确界定产品在中国境内生产</w:t>
      </w:r>
      <w:r>
        <w:rPr>
          <w:rFonts w:hint="eastAsia" w:ascii="宋体" w:hAnsi="宋体" w:eastAsia="宋体" w:cs="宋体"/>
          <w:color w:val="auto"/>
          <w:sz w:val="21"/>
          <w:szCs w:val="21"/>
          <w:highlight w:val="none"/>
        </w:rPr>
        <w:t>。本国产品应当在中国境内生产，即在中华人民共和国关境内实现从原材料、组件到产品的属性改变。从具体情形看，在国内保税区、综合保税区等海关特殊监管区域生产的产品，属于在中国境内生产的产品；对医疗器械产品，取得药品监督管理部门授予的准字号医疗器械注册证的，属于在中国境内生产的产品；其他产品，根据实际情况判断是否在中国境内生产。</w:t>
      </w:r>
    </w:p>
    <w:p w14:paraId="45C0A936">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r>
        <w:rPr>
          <w:rFonts w:hint="eastAsia" w:ascii="宋体" w:hAnsi="宋体" w:eastAsia="宋体" w:cs="宋体"/>
          <w:b/>
          <w:color w:val="auto"/>
          <w:sz w:val="21"/>
          <w:szCs w:val="21"/>
          <w:highlight w:val="none"/>
        </w:rPr>
        <w:t>对本国产品的支持政策</w:t>
      </w:r>
      <w:r>
        <w:rPr>
          <w:rFonts w:hint="eastAsia" w:ascii="宋体" w:hAnsi="宋体" w:eastAsia="宋体" w:cs="宋体"/>
          <w:color w:val="auto"/>
          <w:sz w:val="21"/>
          <w:szCs w:val="21"/>
          <w:highlight w:val="none"/>
        </w:rPr>
        <w:t>。政府采购活动中既有本国产品又有非本国产品参与竞争的，依法对本国产品给予价格评审优惠，对本国产品的报价给予20%的价格扣除，用扣除后的价格参与评审。</w:t>
      </w:r>
    </w:p>
    <w:p w14:paraId="4A5D6E68">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当采购项目或者采购包中含有多种产品，供应商为该采购项目或者采购包提供的符合本国产品标准的产品成本之和占该供应商提供的全部产品成本之和的比例达到80%以上时，依法对该供应商提供的全部产品给予价格评审优惠，即对该供应商提供的全部产品的总报价给予20%的价格扣除，用扣除后的价格参与评审。</w:t>
      </w:r>
    </w:p>
    <w:p w14:paraId="1362F3B3">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r>
        <w:rPr>
          <w:rFonts w:hint="eastAsia" w:ascii="宋体" w:hAnsi="宋体" w:eastAsia="宋体" w:cs="宋体"/>
          <w:b/>
          <w:color w:val="auto"/>
          <w:sz w:val="21"/>
          <w:szCs w:val="21"/>
          <w:highlight w:val="none"/>
        </w:rPr>
        <w:t>认真审查有关证明文件</w:t>
      </w:r>
      <w:r>
        <w:rPr>
          <w:rFonts w:hint="eastAsia" w:ascii="宋体" w:hAnsi="宋体" w:eastAsia="宋体" w:cs="宋体"/>
          <w:color w:val="auto"/>
          <w:sz w:val="21"/>
          <w:szCs w:val="21"/>
          <w:highlight w:val="none"/>
        </w:rPr>
        <w:t>。采购人应当在采购文件中明确对供应商所出具的《关于符合本国产品标准的声明函》（以下简称《声明函》）的完整性、准确性进行审查的要求，评审中发现《声明函》内容含义不明确、同类事项与投标（响应）文件表述不一致或者有明显文字错误等情况的，应当以书面形式要求供应商作出必要的澄清、说明或者补正。经澄清、说明或者补正的《声明函》仍然不符合《通知》规定要求的，供应商提供的相关产品视为不符合本国产品标准。</w:t>
      </w:r>
    </w:p>
    <w:p w14:paraId="2293B04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3.对小型、微型企业、监狱企业或残疾人福利性单位给予价格扣除</w:t>
      </w:r>
    </w:p>
    <w:p w14:paraId="17F1254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依照《政府采购促进中小企业发展管理办法》、《支持监狱企业发展有关问题的通知》和《财政部 民政部 中国残疾人联合会关于促进残疾人就业政府采购政策的通知》的规定，凡符合享受《政府采购促进中小企业发展管理办法》规定的中小企业扶持政策的单位，按照以下比例给予相应的价格扣除：（监狱企业、残疾人福利性单位视同为小、微企业）。</w:t>
      </w:r>
    </w:p>
    <w:p w14:paraId="1FCD20F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4.价格扣除相关要求</w:t>
      </w:r>
    </w:p>
    <w:p w14:paraId="4301602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w:t>
      </w:r>
    </w:p>
    <w:tbl>
      <w:tblPr>
        <w:tblStyle w:val="37"/>
        <w:tblW w:w="964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720"/>
        <w:gridCol w:w="1421"/>
        <w:gridCol w:w="1935"/>
        <w:gridCol w:w="859"/>
        <w:gridCol w:w="4706"/>
      </w:tblGrid>
      <w:tr w14:paraId="437303E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689" w:hRule="atLeast"/>
          <w:jc w:val="center"/>
        </w:trPr>
        <w:tc>
          <w:tcPr>
            <w:tcW w:w="720" w:type="dxa"/>
            <w:vAlign w:val="center"/>
          </w:tcPr>
          <w:p w14:paraId="7B31CB2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421" w:type="dxa"/>
            <w:vAlign w:val="center"/>
          </w:tcPr>
          <w:p w14:paraId="4F3C482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情形</w:t>
            </w:r>
          </w:p>
        </w:tc>
        <w:tc>
          <w:tcPr>
            <w:tcW w:w="1935" w:type="dxa"/>
            <w:vAlign w:val="center"/>
          </w:tcPr>
          <w:p w14:paraId="120C9FF2">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适用对象</w:t>
            </w:r>
          </w:p>
        </w:tc>
        <w:tc>
          <w:tcPr>
            <w:tcW w:w="859" w:type="dxa"/>
            <w:vAlign w:val="center"/>
          </w:tcPr>
          <w:p w14:paraId="50B3F22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价格扣除比例</w:t>
            </w:r>
          </w:p>
        </w:tc>
        <w:tc>
          <w:tcPr>
            <w:tcW w:w="4706" w:type="dxa"/>
            <w:vAlign w:val="center"/>
          </w:tcPr>
          <w:p w14:paraId="59E5265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计算公式</w:t>
            </w:r>
          </w:p>
        </w:tc>
      </w:tr>
      <w:tr w14:paraId="23435FD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vAlign w:val="center"/>
          </w:tcPr>
          <w:p w14:paraId="04AAF07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421" w:type="dxa"/>
            <w:vAlign w:val="top"/>
          </w:tcPr>
          <w:p w14:paraId="53B4FEC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小型、微型企业，监狱企业，残疾人福利性单位</w:t>
            </w:r>
          </w:p>
        </w:tc>
        <w:tc>
          <w:tcPr>
            <w:tcW w:w="1935" w:type="dxa"/>
            <w:vAlign w:val="top"/>
          </w:tcPr>
          <w:p w14:paraId="058CB88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服务由小微企业承接</w:t>
            </w:r>
          </w:p>
        </w:tc>
        <w:tc>
          <w:tcPr>
            <w:tcW w:w="859" w:type="dxa"/>
            <w:vAlign w:val="top"/>
          </w:tcPr>
          <w:p w14:paraId="53E0D43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w:t>
            </w:r>
          </w:p>
        </w:tc>
        <w:tc>
          <w:tcPr>
            <w:tcW w:w="4706" w:type="dxa"/>
            <w:vAlign w:val="top"/>
          </w:tcPr>
          <w:p w14:paraId="78278CB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由小微企业承接，即提供服务的人员为小微企业依照《中华人民共和国劳动合同法》订立劳动合同的从业人员时，给予价格扣除C1，即：评标价=投标报价×（1-C1）;监狱企业与残疾人福利性单位视同小型、微型企业，享受同等价格扣除，当企业属性重复时，不重复价格扣除。</w:t>
            </w:r>
          </w:p>
        </w:tc>
      </w:tr>
      <w:tr w14:paraId="3D10F55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720" w:type="dxa"/>
            <w:shd w:val="clear" w:color="auto" w:fill="auto"/>
            <w:vAlign w:val="center"/>
          </w:tcPr>
          <w:p w14:paraId="091E704A">
            <w:pPr>
              <w:pStyle w:val="174"/>
              <w:shd w:val="clear"/>
              <w:jc w:val="center"/>
              <w:rPr>
                <w:rFonts w:hint="eastAsia" w:ascii="宋体" w:hAnsi="宋体" w:eastAsia="宋体" w:cs="宋体"/>
                <w:color w:val="auto"/>
                <w:highlight w:val="none"/>
                <w:lang w:val="en-US" w:eastAsia="zh-Hans"/>
              </w:rPr>
            </w:pPr>
            <w:r>
              <w:rPr>
                <w:rFonts w:hint="eastAsia" w:ascii="宋体" w:hAnsi="宋体" w:eastAsia="宋体" w:cs="宋体"/>
                <w:color w:val="auto"/>
                <w:highlight w:val="none"/>
              </w:rPr>
              <w:t>2</w:t>
            </w:r>
          </w:p>
        </w:tc>
        <w:tc>
          <w:tcPr>
            <w:tcW w:w="1421" w:type="dxa"/>
            <w:shd w:val="clear" w:color="auto" w:fill="auto"/>
            <w:vAlign w:val="center"/>
          </w:tcPr>
          <w:p w14:paraId="4A30B27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小型、微型企业，监狱企业，残疾人福利性单位</w:t>
            </w:r>
          </w:p>
        </w:tc>
        <w:tc>
          <w:tcPr>
            <w:tcW w:w="1935" w:type="dxa"/>
            <w:shd w:val="clear" w:color="auto" w:fill="auto"/>
            <w:vAlign w:val="center"/>
          </w:tcPr>
          <w:p w14:paraId="4CFB388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投标（响应）供应商为大中型企业与小微企业组成联合体或者大中型企业向一家或者多家小微企业分包的，对于联合体协议或者分包意向协议约定小微企业的合同份额占到合同总金额30%以上</w:t>
            </w:r>
          </w:p>
        </w:tc>
        <w:tc>
          <w:tcPr>
            <w:tcW w:w="859" w:type="dxa"/>
            <w:shd w:val="clear" w:color="auto" w:fill="auto"/>
            <w:vAlign w:val="center"/>
          </w:tcPr>
          <w:p w14:paraId="0D7CB30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4%</w:t>
            </w:r>
          </w:p>
        </w:tc>
        <w:tc>
          <w:tcPr>
            <w:tcW w:w="4706" w:type="dxa"/>
            <w:shd w:val="clear" w:color="auto" w:fill="auto"/>
            <w:vAlign w:val="center"/>
          </w:tcPr>
          <w:p w14:paraId="5339E74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Hans"/>
              </w:rPr>
            </w:pPr>
            <w:r>
              <w:rPr>
                <w:rFonts w:hint="eastAsia" w:ascii="宋体" w:hAnsi="宋体" w:eastAsia="宋体" w:cs="宋体"/>
                <w:color w:val="auto"/>
                <w:sz w:val="21"/>
                <w:szCs w:val="21"/>
                <w:highlight w:val="none"/>
              </w:rPr>
              <w:t>大中型企业与小微企业组成联合体或者允许大中型企业向一家或者多家小微企业分包的采购项目，对于联合协议或者分包意向协议约定小微企业的合同份额占到合同总金额 30%以上的，报价给予价格扣除C1，即：评标价=投标报价×（1-C1）;监狱企业与残疾人福利性单位视同小型、微型企业，享受同等价格扣除，当企业属性重复时，不重复价格扣除。</w:t>
            </w:r>
          </w:p>
        </w:tc>
      </w:tr>
      <w:tr w14:paraId="31D9BE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641" w:type="dxa"/>
            <w:gridSpan w:val="5"/>
            <w:vAlign w:val="center"/>
          </w:tcPr>
          <w:p w14:paraId="13BCDFB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注：（1）上述评标价仅用于计算价格分，成交金额以实际投标价为准。 （2）组成联合体的大中型企业和其他自然人、法人或者其他组织、与小型、微型企业之间不得存在投资关系。</w:t>
            </w:r>
          </w:p>
        </w:tc>
      </w:tr>
    </w:tbl>
    <w:p w14:paraId="5AA1178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（1）所称小型和微型企业应当符合以下条件：</w:t>
      </w:r>
    </w:p>
    <w:p w14:paraId="271599C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在中华人民共和国境内依法设立，依据国务院批准的中小企业划分标准确定的小型企业和微型企业，但与大企业的负责人为同一人，或者与大企业存在直接控股、管理关系的除外。</w:t>
      </w:r>
    </w:p>
    <w:p w14:paraId="2AF6BF3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符合中小企业划分标准的个体工商户，在政府采购活动中视同中小企业。</w:t>
      </w:r>
    </w:p>
    <w:p w14:paraId="6684A5A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提供本企业（属于小微企业）制造的货物或者提供其他小型或微型企业制造的货物/提供本企业（属于小微企业）承接的服务。</w:t>
      </w:r>
    </w:p>
    <w:p w14:paraId="0485FF0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符合中小企业扶持政策的投标人应填写《中小企业声明函》；监狱企业须投标人提供由监狱管理局、戒毒管理局（含新疆生产建设兵团）出具的属于监狱企业的证明文件；残疾人福利性单位应填写《残疾人福利性单位声明函》，否则不认定价格扣除。</w:t>
      </w:r>
    </w:p>
    <w:p w14:paraId="7FE5EEE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说明：投标人应当对其出具的《中小企业声明函》真实性负责，投标人出具的《中小企业声明函》内容不实的，属于提供虚假材料谋取中标。</w:t>
      </w:r>
    </w:p>
    <w:p w14:paraId="24CCBA2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投标（响应）供应商统一在一份《中小企业声明函》中说明联合体各方的中小微情况：包括联合体各方均为小型、微型企业的，及中小微企业作为联合体一方参与政府采购活动，且共同投标协议书中约定，小型、微型企业的协议合同金额占到联合体协议合同总金额30%以上的。</w:t>
      </w:r>
    </w:p>
    <w:p w14:paraId="2987A40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三、评审程序</w:t>
      </w:r>
    </w:p>
    <w:p w14:paraId="1AD5A02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1.资格性审查、符合性审查和异常低价审查</w:t>
      </w:r>
    </w:p>
    <w:p w14:paraId="0AC74DB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资格性审查。公开招标采购项目开标结束后，评标委员会依法对投标人资格开展审查，判定投标人是否具备投标资格（详见附表一 资格性审查表）。</w:t>
      </w:r>
    </w:p>
    <w:p w14:paraId="7D3F619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符合性审查。评标委员会按照招标文件规定，审查投标文件的有效性、完整性及对招标文件的响应程度，判定投标文件是否响应招标文件实质性要求（详见附表二 符合性审查表）</w:t>
      </w:r>
    </w:p>
    <w:p w14:paraId="6DE6955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资格性审查和符合性审查中凡有其中任意一项未通过的，评审结果为未通过，未通过资格性审查、符合性审查的投标人按无效投标处理。</w:t>
      </w:r>
    </w:p>
    <w:p w14:paraId="0EFCB11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异常低价审查。政府采购评审中出现采购文件明确的异常低价情形，评审委员会应当启动异常低价投标（响应）审查程序。</w:t>
      </w:r>
    </w:p>
    <w:p w14:paraId="65C7E72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委员会启动异常低价投标（响应）审查后，应当要求相关供应商在评审现场合理的时间内对投标（响应）价格作出解释，提供项目具体成本测算等与报价合理性相关的书面说明及必要的证明材料，包括但不限于原材料成本、人工成本、制造费用等。</w:t>
      </w:r>
    </w:p>
    <w:p w14:paraId="3837FF7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被启动异常低价审查的供应商，如果不提供书面说明、证明材料，或者提供的书面说明、证明材料不能证明其报价合理性的，应当将其作为无效投标（响应）处理。</w:t>
      </w:r>
    </w:p>
    <w:p w14:paraId="46A0210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通过异常低价审查的不足3家，不得进入详细评审。</w:t>
      </w:r>
    </w:p>
    <w:p w14:paraId="04A87BD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资格性审查、符合性审查、异常低价审查中凡有其中任意一项未通过的，评审结果为未通过，未通过资格性审查、符合性审查、异常低价审查的投标人按无效投标处理。</w:t>
      </w:r>
    </w:p>
    <w:p w14:paraId="65B8D16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对各投标人进行资格审查、符合性审查、异常低价审查过程中，对初步被认定为无效投标者，由评标委员会组长或采购人代表将集体意见及时告知投标当事人。</w:t>
      </w:r>
    </w:p>
    <w:p w14:paraId="63B520C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评标委员会认为投标人的报价明显低于其他通过符合性审查投标人的报价，有可能影响产品质量或者不能诚信履约的，应当要求其在评标现场合理的时间内提供书面说明，必要时提交相关证明材料；投标人不能证明其报价合理性的，评标委员会应当将其作为无效投标处理。</w:t>
      </w:r>
    </w:p>
    <w:p w14:paraId="4E6F604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合格投标人不足3家的，不得评标。</w:t>
      </w:r>
    </w:p>
    <w:p w14:paraId="52A0DED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表一资格性审查表：</w:t>
      </w:r>
    </w:p>
    <w:p w14:paraId="698FFBE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3327"/>
        <w:gridCol w:w="4772"/>
      </w:tblGrid>
      <w:tr w14:paraId="772D836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0B5FB8B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序号</w:t>
            </w:r>
          </w:p>
        </w:tc>
        <w:tc>
          <w:tcPr>
            <w:tcW w:w="8099" w:type="dxa"/>
            <w:gridSpan w:val="2"/>
            <w:vAlign w:val="top"/>
          </w:tcPr>
          <w:p w14:paraId="7D81274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资格审查内容</w:t>
            </w:r>
          </w:p>
        </w:tc>
      </w:tr>
      <w:tr w14:paraId="62A282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11009C0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327" w:type="dxa"/>
            <w:vAlign w:val="top"/>
          </w:tcPr>
          <w:p w14:paraId="4A4B94E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具有独立承担民事责任的能力</w:t>
            </w:r>
          </w:p>
        </w:tc>
        <w:tc>
          <w:tcPr>
            <w:tcW w:w="4772" w:type="dxa"/>
            <w:vAlign w:val="top"/>
          </w:tcPr>
          <w:p w14:paraId="6A9B1B1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在中华人民共和国境内注册的法人或其他组织或自然人，投标（响应）时提交有效的营业执照（或事业法人登记证或身份证等相关证明）副本复印件。分支机构投标的，须提供总公司和分公司营业执照副本复印件，总公司出具给分支机构的授权书。</w:t>
            </w:r>
          </w:p>
        </w:tc>
      </w:tr>
      <w:tr w14:paraId="685EFE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4F18955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3327" w:type="dxa"/>
            <w:vAlign w:val="top"/>
          </w:tcPr>
          <w:p w14:paraId="6F0E634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有依法缴纳税收和社会保障资金的良好记录</w:t>
            </w:r>
          </w:p>
        </w:tc>
        <w:tc>
          <w:tcPr>
            <w:tcW w:w="4772" w:type="dxa"/>
            <w:vAlign w:val="top"/>
          </w:tcPr>
          <w:p w14:paraId="4D03998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提供《阳江市政府采购供应商资格信用承诺函》。</w:t>
            </w:r>
          </w:p>
        </w:tc>
      </w:tr>
      <w:tr w14:paraId="1D639FA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6B114EC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3327" w:type="dxa"/>
            <w:vAlign w:val="top"/>
          </w:tcPr>
          <w:p w14:paraId="4D0A185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具有良好的商业信誉和健全的财务会计制度</w:t>
            </w:r>
          </w:p>
        </w:tc>
        <w:tc>
          <w:tcPr>
            <w:tcW w:w="4772" w:type="dxa"/>
            <w:vAlign w:val="top"/>
          </w:tcPr>
          <w:p w14:paraId="5508ADA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提供《阳江市政府采购供应商资格信用承诺函》</w:t>
            </w:r>
            <w:r>
              <w:rPr>
                <w:rFonts w:hint="eastAsia" w:ascii="宋体" w:hAnsi="宋体" w:eastAsia="宋体" w:cs="宋体"/>
                <w:color w:val="auto"/>
                <w:sz w:val="21"/>
                <w:szCs w:val="21"/>
                <w:highlight w:val="none"/>
              </w:rPr>
              <w:t>。</w:t>
            </w:r>
          </w:p>
        </w:tc>
      </w:tr>
      <w:tr w14:paraId="05EB48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1EEF0D3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3327" w:type="dxa"/>
            <w:vAlign w:val="top"/>
          </w:tcPr>
          <w:p w14:paraId="4E02786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履行合同所必需的设备和专业技术能力</w:t>
            </w:r>
          </w:p>
        </w:tc>
        <w:tc>
          <w:tcPr>
            <w:tcW w:w="4772" w:type="dxa"/>
            <w:vAlign w:val="top"/>
          </w:tcPr>
          <w:p w14:paraId="1417651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提供《阳江市政府采购供应商资格信用承诺函》</w:t>
            </w:r>
            <w:r>
              <w:rPr>
                <w:rFonts w:hint="eastAsia" w:ascii="宋体" w:hAnsi="宋体" w:eastAsia="宋体" w:cs="宋体"/>
                <w:color w:val="auto"/>
                <w:sz w:val="21"/>
                <w:szCs w:val="21"/>
                <w:highlight w:val="none"/>
              </w:rPr>
              <w:t>。</w:t>
            </w:r>
          </w:p>
        </w:tc>
      </w:tr>
      <w:tr w14:paraId="06CCF8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4065FDB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3327" w:type="dxa"/>
            <w:vAlign w:val="top"/>
          </w:tcPr>
          <w:p w14:paraId="2714BA6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参加采购活动前3年内，在经营活动中没有重大违法记录</w:t>
            </w:r>
          </w:p>
        </w:tc>
        <w:tc>
          <w:tcPr>
            <w:tcW w:w="4772" w:type="dxa"/>
            <w:vAlign w:val="top"/>
          </w:tcPr>
          <w:p w14:paraId="0AE770C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提供《阳江市政府采购供应商资格信用承诺函》。重大违法记录，是指供应商因违法经营受到刑事处罚或者责令停产停业、吊销许可证或者执照、较大数额罚款等行政处罚。（根据财库〔2022〕3号文，“较大数额罚款”认定为200万元以上的罚款，法律、行政法规以及国务院有关部门明确规定相关领域“较大数额罚款”标准高于200万元的，从其规定）</w:t>
            </w:r>
          </w:p>
        </w:tc>
      </w:tr>
      <w:tr w14:paraId="11E3BC7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18CDF0B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3327" w:type="dxa"/>
            <w:vAlign w:val="top"/>
          </w:tcPr>
          <w:p w14:paraId="7F80A96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信用记录</w:t>
            </w:r>
          </w:p>
        </w:tc>
        <w:tc>
          <w:tcPr>
            <w:tcW w:w="4772" w:type="dxa"/>
            <w:vAlign w:val="top"/>
          </w:tcPr>
          <w:p w14:paraId="2ECEC49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1)投标人未被列入“信用中国”网站(www.creditchina.gov.cn)“记录失信被执行人或重大税收违法失信主体或政府采购严重违法失信行为”记录名单；不处于中国政府采购网(www.ccgp.gov.cn)“政府采购严重违法失信行为信息记录”中的禁止参加政府采购活动期间。（以资格审查人员于投标（响应）截止时间当天在“信用中国”网站（www.creditchina.gov.cn）及中国政府采购（http://www.ccgp.gov.cn/）查询结果为准，如相关失信记录已失效，供应商需提供相关证明资料）。</w:t>
            </w:r>
          </w:p>
        </w:tc>
      </w:tr>
      <w:tr w14:paraId="3F854E4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0367624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3327" w:type="dxa"/>
            <w:vAlign w:val="top"/>
          </w:tcPr>
          <w:p w14:paraId="6309543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供应商必须符合法律、行政法规规定的其他条件</w:t>
            </w:r>
          </w:p>
        </w:tc>
        <w:tc>
          <w:tcPr>
            <w:tcW w:w="4772" w:type="dxa"/>
            <w:vAlign w:val="top"/>
          </w:tcPr>
          <w:p w14:paraId="7B9B0E6F">
            <w:pPr>
              <w:widowControl/>
              <w:tabs>
                <w:tab w:val="left" w:pos="502"/>
              </w:tabs>
              <w:adjustRightInd w:val="0"/>
              <w:snapToGrid w:val="0"/>
              <w:spacing w:line="360" w:lineRule="auto"/>
              <w:ind w:firstLine="210" w:firstLineChars="100"/>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单位负责人为同一人或者存在直接控股、管理关系的不同供应商，不得同时参加本采购项目（或采购包）投标（响应）。为本项目提供整体设计、规范编制或者项目管理、监理、检测等服务的供应商，不得再参与本项目投标（响应）。投标（报价）函相关承诺要求内容。</w:t>
            </w:r>
          </w:p>
        </w:tc>
      </w:tr>
      <w:tr w14:paraId="175042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782037C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3327" w:type="dxa"/>
            <w:vAlign w:val="top"/>
          </w:tcPr>
          <w:p w14:paraId="214B283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本项目不允许分包或转包</w:t>
            </w:r>
          </w:p>
        </w:tc>
        <w:tc>
          <w:tcPr>
            <w:tcW w:w="4772" w:type="dxa"/>
            <w:vAlign w:val="top"/>
          </w:tcPr>
          <w:p w14:paraId="7CB93A4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提供本项目不允许分包或转包声明函。</w:t>
            </w:r>
          </w:p>
        </w:tc>
      </w:tr>
      <w:tr w14:paraId="4438A0B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3CA68C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9</w:t>
            </w:r>
          </w:p>
        </w:tc>
        <w:tc>
          <w:tcPr>
            <w:tcW w:w="3327" w:type="dxa"/>
            <w:vAlign w:val="top"/>
          </w:tcPr>
          <w:p w14:paraId="1667065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资质要求</w:t>
            </w:r>
          </w:p>
        </w:tc>
        <w:tc>
          <w:tcPr>
            <w:tcW w:w="4772" w:type="dxa"/>
            <w:vAlign w:val="top"/>
          </w:tcPr>
          <w:p w14:paraId="350C23D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本采购包不接受联合体投标。</w:t>
            </w:r>
          </w:p>
        </w:tc>
      </w:tr>
      <w:tr w14:paraId="462467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3C57366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val="en-US" w:eastAsia="zh-CN"/>
              </w:rPr>
              <w:t>0</w:t>
            </w:r>
          </w:p>
        </w:tc>
        <w:tc>
          <w:tcPr>
            <w:tcW w:w="3327" w:type="dxa"/>
            <w:vAlign w:val="top"/>
          </w:tcPr>
          <w:p w14:paraId="52CA881E">
            <w:pPr>
              <w:keepNext w:val="0"/>
              <w:keepLines w:val="0"/>
              <w:pageBreakBefore w:val="0"/>
              <w:widowControl/>
              <w:shd w:val="clear"/>
              <w:tabs>
                <w:tab w:val="left" w:pos="502"/>
              </w:tabs>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其他要求</w:t>
            </w:r>
          </w:p>
        </w:tc>
        <w:tc>
          <w:tcPr>
            <w:tcW w:w="4772" w:type="dxa"/>
            <w:vAlign w:val="top"/>
          </w:tcPr>
          <w:p w14:paraId="238D95EE">
            <w:pPr>
              <w:keepNext w:val="0"/>
              <w:keepLines w:val="0"/>
              <w:pageBreakBefore w:val="0"/>
              <w:widowControl/>
              <w:shd w:val="clear"/>
              <w:tabs>
                <w:tab w:val="left" w:pos="502"/>
              </w:tabs>
              <w:kinsoku/>
              <w:wordWrap/>
              <w:overflowPunct/>
              <w:topLinePunct w:val="0"/>
              <w:autoSpaceDE/>
              <w:autoSpaceDN/>
              <w:bidi w:val="0"/>
              <w:adjustRightInd w:val="0"/>
              <w:snapToGrid w:val="0"/>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val="0"/>
                <w:bCs w:val="0"/>
                <w:color w:val="auto"/>
                <w:sz w:val="21"/>
                <w:szCs w:val="21"/>
                <w:highlight w:val="none"/>
                <w:lang w:val="en-US" w:eastAsia="zh-CN"/>
              </w:rPr>
              <w:t>投标人须在招标代理机构登记并购买招标文件。</w:t>
            </w:r>
          </w:p>
        </w:tc>
      </w:tr>
    </w:tbl>
    <w:p w14:paraId="5F65CF1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表二符合性审查表：</w:t>
      </w:r>
    </w:p>
    <w:p w14:paraId="6FFA922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72"/>
        <w:gridCol w:w="3471"/>
        <w:gridCol w:w="4628"/>
      </w:tblGrid>
      <w:tr w14:paraId="227198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BB47D4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序号</w:t>
            </w:r>
          </w:p>
        </w:tc>
        <w:tc>
          <w:tcPr>
            <w:tcW w:w="3471" w:type="dxa"/>
            <w:vAlign w:val="top"/>
          </w:tcPr>
          <w:p w14:paraId="0C08A8B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评审点要求概况</w:t>
            </w:r>
          </w:p>
        </w:tc>
        <w:tc>
          <w:tcPr>
            <w:tcW w:w="4628" w:type="dxa"/>
            <w:vAlign w:val="top"/>
          </w:tcPr>
          <w:p w14:paraId="51898E1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评审点具体描述</w:t>
            </w:r>
          </w:p>
        </w:tc>
      </w:tr>
      <w:tr w14:paraId="2EF3C2B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38475FD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3471" w:type="dxa"/>
            <w:vAlign w:val="top"/>
          </w:tcPr>
          <w:p w14:paraId="1C769C7B">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w:t>
            </w:r>
          </w:p>
        </w:tc>
        <w:tc>
          <w:tcPr>
            <w:tcW w:w="4628" w:type="dxa"/>
            <w:vAlign w:val="top"/>
          </w:tcPr>
          <w:p w14:paraId="7E753EAF">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投标有效期满足招标文件要求（90天）。</w:t>
            </w:r>
          </w:p>
        </w:tc>
      </w:tr>
      <w:tr w14:paraId="7A04C5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7F2EB74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3471" w:type="dxa"/>
            <w:vAlign w:val="top"/>
          </w:tcPr>
          <w:p w14:paraId="5DB4DDB2">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合同履行期限</w:t>
            </w:r>
          </w:p>
        </w:tc>
        <w:tc>
          <w:tcPr>
            <w:tcW w:w="4628" w:type="dxa"/>
            <w:vAlign w:val="top"/>
          </w:tcPr>
          <w:p w14:paraId="2342A390">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合同履行期限须满足招标文件要求</w:t>
            </w:r>
          </w:p>
        </w:tc>
      </w:tr>
      <w:tr w14:paraId="0CABC8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7872C61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3</w:t>
            </w:r>
          </w:p>
        </w:tc>
        <w:tc>
          <w:tcPr>
            <w:tcW w:w="3471" w:type="dxa"/>
            <w:vAlign w:val="top"/>
          </w:tcPr>
          <w:p w14:paraId="50FF4EA4">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法定代表人证明书及授权委托书</w:t>
            </w:r>
          </w:p>
        </w:tc>
        <w:tc>
          <w:tcPr>
            <w:tcW w:w="4628" w:type="dxa"/>
            <w:vAlign w:val="top"/>
          </w:tcPr>
          <w:p w14:paraId="1D98FD60">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按对应格式文件签署、盖章及附身份证</w:t>
            </w:r>
            <w:r>
              <w:rPr>
                <w:rFonts w:hint="eastAsia" w:ascii="宋体" w:hAnsi="宋体" w:eastAsia="宋体" w:cs="宋体"/>
                <w:color w:val="auto"/>
                <w:sz w:val="21"/>
                <w:szCs w:val="21"/>
                <w:highlight w:val="none"/>
                <w:lang w:val="en-US" w:eastAsia="zh-CN"/>
              </w:rPr>
              <w:t>复印件</w:t>
            </w:r>
            <w:r>
              <w:rPr>
                <w:rFonts w:hint="eastAsia" w:ascii="宋体" w:hAnsi="宋体" w:eastAsia="宋体" w:cs="宋体"/>
                <w:color w:val="auto"/>
                <w:sz w:val="21"/>
                <w:szCs w:val="21"/>
                <w:highlight w:val="none"/>
              </w:rPr>
              <w:t>。</w:t>
            </w:r>
          </w:p>
        </w:tc>
      </w:tr>
      <w:tr w14:paraId="67F8E52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0D7A1AC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4</w:t>
            </w:r>
          </w:p>
        </w:tc>
        <w:tc>
          <w:tcPr>
            <w:tcW w:w="3471" w:type="dxa"/>
            <w:vAlign w:val="top"/>
          </w:tcPr>
          <w:p w14:paraId="5C821EBF">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tc>
        <w:tc>
          <w:tcPr>
            <w:tcW w:w="4628" w:type="dxa"/>
            <w:vAlign w:val="top"/>
          </w:tcPr>
          <w:p w14:paraId="513E8DB4">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投标报价没有超出最高限价。</w:t>
            </w:r>
          </w:p>
        </w:tc>
      </w:tr>
      <w:tr w14:paraId="5AC1622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6F3986B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5</w:t>
            </w:r>
          </w:p>
        </w:tc>
        <w:tc>
          <w:tcPr>
            <w:tcW w:w="3471" w:type="dxa"/>
            <w:vAlign w:val="top"/>
          </w:tcPr>
          <w:p w14:paraId="3094222C">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投标报价合理性</w:t>
            </w:r>
          </w:p>
        </w:tc>
        <w:tc>
          <w:tcPr>
            <w:tcW w:w="4628" w:type="dxa"/>
            <w:vAlign w:val="top"/>
          </w:tcPr>
          <w:p w14:paraId="7F045C7A">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的报价没有明显低于其他通过符合性审查投标人的报价；或者评标委员会认为投标人的报价明显低于其他通过符合性审查投标人的报价，有可能影响货物质量、服务等不能诚信履约的，投标人能在规定时间内应评标委员会要求证明其报价合理性。</w:t>
            </w:r>
          </w:p>
        </w:tc>
      </w:tr>
      <w:tr w14:paraId="46FD287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8C4921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6</w:t>
            </w:r>
          </w:p>
        </w:tc>
        <w:tc>
          <w:tcPr>
            <w:tcW w:w="3471" w:type="dxa"/>
            <w:vAlign w:val="top"/>
          </w:tcPr>
          <w:p w14:paraId="6968E4E5">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投标文件的签署和盖章</w:t>
            </w:r>
          </w:p>
        </w:tc>
        <w:tc>
          <w:tcPr>
            <w:tcW w:w="4628" w:type="dxa"/>
            <w:vAlign w:val="top"/>
          </w:tcPr>
          <w:p w14:paraId="0D858CCA">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投标文件符合招标文件的签署和盖章要求。</w:t>
            </w:r>
          </w:p>
        </w:tc>
      </w:tr>
      <w:tr w14:paraId="5FE64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34513DB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7</w:t>
            </w:r>
          </w:p>
        </w:tc>
        <w:tc>
          <w:tcPr>
            <w:tcW w:w="3471" w:type="dxa"/>
            <w:vAlign w:val="top"/>
          </w:tcPr>
          <w:p w14:paraId="2AD13660">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附件条件</w:t>
            </w:r>
          </w:p>
        </w:tc>
        <w:tc>
          <w:tcPr>
            <w:tcW w:w="4628" w:type="dxa"/>
            <w:vAlign w:val="top"/>
          </w:tcPr>
          <w:p w14:paraId="591048D7">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投标文件没有采购人不能接受的附加条件。</w:t>
            </w:r>
          </w:p>
        </w:tc>
      </w:tr>
      <w:tr w14:paraId="37E3A49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72" w:type="dxa"/>
            <w:vAlign w:val="top"/>
          </w:tcPr>
          <w:p w14:paraId="2DF5378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8</w:t>
            </w:r>
          </w:p>
        </w:tc>
        <w:tc>
          <w:tcPr>
            <w:tcW w:w="3471" w:type="dxa"/>
            <w:vAlign w:val="top"/>
          </w:tcPr>
          <w:p w14:paraId="6CDD9568">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其他情形</w:t>
            </w:r>
          </w:p>
        </w:tc>
        <w:tc>
          <w:tcPr>
            <w:tcW w:w="4628" w:type="dxa"/>
            <w:vAlign w:val="top"/>
          </w:tcPr>
          <w:p w14:paraId="419827DF">
            <w:pPr>
              <w:pStyle w:val="174"/>
              <w:spacing w:line="360" w:lineRule="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不属于法律、法规、规章规定无效投标的其他情形。</w:t>
            </w:r>
          </w:p>
        </w:tc>
      </w:tr>
    </w:tbl>
    <w:p w14:paraId="17A0B36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2.投标文件澄清</w:t>
      </w:r>
    </w:p>
    <w:p w14:paraId="076E4B1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2.1对于投标文件中含义不明确、同类问题表述不一致或者有明显文字和计算错误的内容，评标委员会应当在评审过程中发起澄清，要求投标人针对价格或内容做出必要的澄清、说明或补正。</w:t>
      </w:r>
    </w:p>
    <w:p w14:paraId="133DACA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投标人需在规定时间内完成澄清（响应），并加盖</w:t>
      </w:r>
      <w:r>
        <w:rPr>
          <w:rFonts w:hint="eastAsia" w:ascii="宋体" w:hAnsi="宋体" w:eastAsia="宋体" w:cs="宋体"/>
          <w:color w:val="auto"/>
          <w:sz w:val="21"/>
          <w:szCs w:val="21"/>
          <w:highlight w:val="none"/>
          <w:lang w:val="en-US" w:eastAsia="zh-CN"/>
        </w:rPr>
        <w:t>公</w:t>
      </w:r>
      <w:r>
        <w:rPr>
          <w:rFonts w:hint="eastAsia" w:ascii="宋体" w:hAnsi="宋体" w:eastAsia="宋体" w:cs="宋体"/>
          <w:color w:val="auto"/>
          <w:sz w:val="21"/>
          <w:szCs w:val="21"/>
          <w:highlight w:val="none"/>
        </w:rPr>
        <w:t>章。</w:t>
      </w:r>
    </w:p>
    <w:p w14:paraId="58573AB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若因投标人联系方式错误未接收短信、未接听电话或超时未进行澄清（响应）造成的不利后果由供应商自行承担。投标人的澄清、说明或者补正不得超出投标文件的范围或者改变投标文件的实质性内容。</w:t>
      </w:r>
    </w:p>
    <w:p w14:paraId="32803D7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2.2评标委员会不接受投标人主动提出的澄清、说明或补正。</w:t>
      </w:r>
    </w:p>
    <w:p w14:paraId="311E22C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2.3评标委员会对投标人提交的澄清、说明或补正有疑问的，可以要求投标人进一步澄清、说明或补正。</w:t>
      </w:r>
    </w:p>
    <w:p w14:paraId="32DB640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3.详细评审</w:t>
      </w:r>
    </w:p>
    <w:p w14:paraId="1E3E99B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2520"/>
        <w:gridCol w:w="5544"/>
      </w:tblGrid>
      <w:tr w14:paraId="09CC283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42BDA5B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评审因素</w:t>
            </w:r>
          </w:p>
        </w:tc>
        <w:tc>
          <w:tcPr>
            <w:tcW w:w="8064" w:type="dxa"/>
            <w:gridSpan w:val="2"/>
            <w:vAlign w:val="top"/>
          </w:tcPr>
          <w:p w14:paraId="17B11D5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评审标准</w:t>
            </w:r>
          </w:p>
        </w:tc>
      </w:tr>
      <w:tr w14:paraId="524DA74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top"/>
          </w:tcPr>
          <w:p w14:paraId="3FBC594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分值构成</w:t>
            </w:r>
          </w:p>
        </w:tc>
        <w:tc>
          <w:tcPr>
            <w:tcW w:w="8064" w:type="dxa"/>
            <w:gridSpan w:val="2"/>
            <w:vAlign w:val="top"/>
          </w:tcPr>
          <w:p w14:paraId="7EF0DB3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技术部分</w:t>
            </w:r>
            <w:r>
              <w:rPr>
                <w:rFonts w:hint="eastAsia" w:ascii="宋体" w:hAnsi="宋体" w:eastAsia="宋体" w:cs="宋体"/>
                <w:color w:val="auto"/>
                <w:sz w:val="21"/>
                <w:szCs w:val="21"/>
                <w:highlight w:val="none"/>
                <w:lang w:val="en-US" w:eastAsia="zh-CN"/>
              </w:rPr>
              <w:t>66.0</w:t>
            </w:r>
            <w:r>
              <w:rPr>
                <w:rFonts w:hint="eastAsia" w:ascii="宋体" w:hAnsi="宋体" w:eastAsia="宋体" w:cs="宋体"/>
                <w:color w:val="auto"/>
                <w:sz w:val="21"/>
                <w:szCs w:val="21"/>
                <w:highlight w:val="none"/>
              </w:rPr>
              <w:t>分</w:t>
            </w:r>
          </w:p>
          <w:p w14:paraId="7A84FD5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商务部分</w:t>
            </w:r>
            <w:r>
              <w:rPr>
                <w:rFonts w:hint="eastAsia" w:ascii="宋体" w:hAnsi="宋体" w:eastAsia="宋体" w:cs="宋体"/>
                <w:color w:val="auto"/>
                <w:sz w:val="21"/>
                <w:szCs w:val="21"/>
                <w:highlight w:val="none"/>
                <w:lang w:val="en-US" w:eastAsia="zh-CN"/>
              </w:rPr>
              <w:t>24.0</w:t>
            </w:r>
            <w:r>
              <w:rPr>
                <w:rFonts w:hint="eastAsia" w:ascii="宋体" w:hAnsi="宋体" w:eastAsia="宋体" w:cs="宋体"/>
                <w:color w:val="auto"/>
                <w:sz w:val="21"/>
                <w:szCs w:val="21"/>
                <w:highlight w:val="none"/>
              </w:rPr>
              <w:t>分</w:t>
            </w:r>
          </w:p>
          <w:p w14:paraId="6D8FF70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报价得分</w:t>
            </w:r>
            <w:r>
              <w:rPr>
                <w:rFonts w:hint="eastAsia" w:ascii="宋体" w:hAnsi="宋体" w:eastAsia="宋体" w:cs="宋体"/>
                <w:color w:val="auto"/>
                <w:sz w:val="21"/>
                <w:szCs w:val="21"/>
                <w:highlight w:val="none"/>
                <w:lang w:val="en-US" w:eastAsia="zh-CN"/>
              </w:rPr>
              <w:t>10</w:t>
            </w:r>
            <w:r>
              <w:rPr>
                <w:rFonts w:hint="eastAsia" w:ascii="宋体" w:hAnsi="宋体" w:eastAsia="宋体" w:cs="宋体"/>
                <w:color w:val="auto"/>
                <w:sz w:val="21"/>
                <w:szCs w:val="21"/>
                <w:highlight w:val="none"/>
              </w:rPr>
              <w:t>.0分</w:t>
            </w:r>
          </w:p>
        </w:tc>
      </w:tr>
      <w:tr w14:paraId="670D63F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center"/>
          </w:tcPr>
          <w:p w14:paraId="25D0ED3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技术</w:t>
            </w:r>
          </w:p>
          <w:p w14:paraId="3701E18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部分</w:t>
            </w:r>
          </w:p>
        </w:tc>
        <w:tc>
          <w:tcPr>
            <w:tcW w:w="2520" w:type="dxa"/>
            <w:vAlign w:val="center"/>
          </w:tcPr>
          <w:p w14:paraId="450DB193">
            <w:pPr>
              <w:widowControl/>
              <w:shd w:val="clear" w:color="auto" w:fill="auto"/>
              <w:spacing w:after="0" w:line="36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pacing w:val="7"/>
                <w:sz w:val="21"/>
                <w:szCs w:val="21"/>
                <w:highlight w:val="none"/>
                <w:lang w:val="en-US" w:eastAsia="zh-CN"/>
              </w:rPr>
              <w:t>项目团队实力（5.0分）</w:t>
            </w:r>
          </w:p>
        </w:tc>
        <w:tc>
          <w:tcPr>
            <w:tcW w:w="5544" w:type="dxa"/>
            <w:vAlign w:val="center"/>
          </w:tcPr>
          <w:p w14:paraId="08634B85">
            <w:pPr>
              <w:widowControl/>
              <w:shd w:val="clear" w:color="auto" w:fill="auto"/>
              <w:tabs>
                <w:tab w:val="left" w:pos="420"/>
                <w:tab w:val="left" w:pos="5260"/>
              </w:tabs>
              <w:spacing w:after="0" w:line="360" w:lineRule="auto"/>
              <w:ind w:left="14" w:leftChars="0" w:right="208" w:rightChars="99" w:hanging="14" w:hangingChars="7"/>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专项团队：投标人须为本项目组建经验丰富的专项团队，包括项目负责人，技术负责人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技术开发人员</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设计师、项目运营培训师</w:t>
            </w:r>
            <w:r>
              <w:rPr>
                <w:rFonts w:hint="eastAsia" w:ascii="宋体" w:hAnsi="宋体" w:eastAsia="宋体" w:cs="宋体"/>
                <w:color w:val="auto"/>
                <w:sz w:val="21"/>
                <w:szCs w:val="21"/>
                <w:highlight w:val="none"/>
              </w:rPr>
              <w:t>等。完全满足要求得</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分，不满足不得分。</w:t>
            </w:r>
            <w:r>
              <w:rPr>
                <w:rFonts w:hint="eastAsia" w:ascii="宋体" w:hAnsi="宋体" w:eastAsia="宋体" w:cs="宋体"/>
                <w:color w:val="auto"/>
                <w:sz w:val="21"/>
                <w:szCs w:val="21"/>
                <w:highlight w:val="none"/>
                <w:lang w:val="en-US" w:eastAsia="zh-CN"/>
              </w:rPr>
              <w:t>（须提供人员2026年1 月以来至少连续3个月的社保证明或人员有效期内的劳动合同证明材料）</w:t>
            </w:r>
          </w:p>
          <w:p w14:paraId="17D473CB">
            <w:pPr>
              <w:widowControl/>
              <w:shd w:val="clear" w:color="auto" w:fill="auto"/>
              <w:tabs>
                <w:tab w:val="left" w:pos="420"/>
                <w:tab w:val="left" w:pos="5260"/>
              </w:tabs>
              <w:spacing w:after="0" w:line="360" w:lineRule="auto"/>
              <w:ind w:left="14" w:leftChars="0" w:right="208" w:rightChars="99" w:hanging="14" w:hangingChars="7"/>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成员经验：团队核心成员（如项目经理、技术负责人）有类似项目经验。完全满足要求得</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分，不满足不得分。人员经验年限证明材料：①曾参与同类项目的合同关键页(须包括但不限于合同标的、合同金额、合同签字页、合同签订时间)，如合同中未体现人员姓名可同时提供合同甲方的盖章证明文件，以合同签订时间计算年限。②或甲方盖章证明：甲方出具的工作证明、履职证明、服务证明、验收证明等，明确该人员参与相关同类项目工作。以证明材料落款时间计算年限。③或同类项目中标/成交通知书、公示截图、项目执行留痕文件。以证明材料落款时间计算年限。</w:t>
            </w:r>
          </w:p>
          <w:p w14:paraId="5F771263">
            <w:pPr>
              <w:widowControl/>
              <w:shd w:val="clear" w:color="auto" w:fill="auto"/>
              <w:tabs>
                <w:tab w:val="left" w:pos="420"/>
                <w:tab w:val="left" w:pos="5260"/>
              </w:tabs>
              <w:spacing w:after="0" w:line="360" w:lineRule="auto"/>
              <w:ind w:left="14" w:leftChars="0" w:right="208" w:rightChars="99" w:hanging="14" w:hangingChars="7"/>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注：上述材料中须能体现项目人员的姓名，否则不纳入统计范围。</w:t>
            </w:r>
          </w:p>
        </w:tc>
      </w:tr>
      <w:tr w14:paraId="537CC75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7C1CFE8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520" w:type="dxa"/>
            <w:vAlign w:val="center"/>
          </w:tcPr>
          <w:p w14:paraId="1C4B333A">
            <w:pPr>
              <w:widowControl/>
              <w:shd w:val="clear" w:color="auto" w:fill="auto"/>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产品配置及技术参数</w:t>
            </w:r>
            <w:r>
              <w:rPr>
                <w:rFonts w:hint="eastAsia" w:ascii="宋体" w:hAnsi="宋体" w:eastAsia="宋体" w:cs="宋体"/>
                <w:color w:val="auto"/>
                <w:sz w:val="21"/>
                <w:szCs w:val="21"/>
                <w:highlight w:val="none"/>
                <w:lang w:val="en-US" w:eastAsia="zh-CN"/>
              </w:rPr>
              <w:t>方案（16.0分）</w:t>
            </w:r>
          </w:p>
        </w:tc>
        <w:tc>
          <w:tcPr>
            <w:tcW w:w="5544" w:type="dxa"/>
            <w:shd w:val="clear" w:color="auto" w:fill="auto"/>
            <w:vAlign w:val="top"/>
          </w:tcPr>
          <w:p w14:paraId="27797C28">
            <w:pPr>
              <w:pStyle w:val="34"/>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技术架构要求：应采用微服务、分布式架构，支持高并发、高可用性，具备良好的弹性扩展能力。前端与后端分离，各服务独立，便于未来模块扩展与升级。支持服务治理、配置管理、熔断限流等企业级特性，确保系统稳定运行。</w:t>
            </w:r>
            <w:r>
              <w:rPr>
                <w:rFonts w:hint="eastAsia" w:ascii="宋体" w:hAnsi="宋体" w:eastAsia="宋体" w:cs="宋体"/>
                <w:b w:val="0"/>
                <w:bCs w:val="0"/>
                <w:i w:val="0"/>
                <w:iCs w:val="0"/>
                <w:color w:val="auto"/>
                <w:spacing w:val="0"/>
                <w:w w:val="100"/>
                <w:sz w:val="21"/>
                <w:szCs w:val="21"/>
                <w:highlight w:val="none"/>
                <w:vertAlign w:val="baseline"/>
                <w:lang w:val="en-US" w:eastAsia="zh-CN"/>
              </w:rPr>
              <w:t>投标文件中须</w:t>
            </w:r>
            <w:r>
              <w:rPr>
                <w:rFonts w:hint="eastAsia" w:ascii="宋体" w:hAnsi="宋体" w:eastAsia="宋体" w:cs="宋体"/>
                <w:b w:val="0"/>
                <w:bCs w:val="0"/>
                <w:i w:val="0"/>
                <w:iCs w:val="0"/>
                <w:color w:val="auto"/>
                <w:spacing w:val="0"/>
                <w:w w:val="100"/>
                <w:sz w:val="21"/>
                <w:szCs w:val="21"/>
                <w:highlight w:val="none"/>
                <w:vertAlign w:val="baseline"/>
              </w:rPr>
              <w:t>提供详细的技术架构图和说明书，完全满足要求得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2</w:t>
            </w:r>
            <w:r>
              <w:rPr>
                <w:rFonts w:hint="eastAsia" w:ascii="宋体" w:hAnsi="宋体" w:eastAsia="宋体" w:cs="宋体"/>
                <w:b w:val="0"/>
                <w:bCs w:val="0"/>
                <w:i w:val="0"/>
                <w:iCs w:val="0"/>
                <w:color w:val="auto"/>
                <w:spacing w:val="0"/>
                <w:w w:val="100"/>
                <w:sz w:val="21"/>
                <w:szCs w:val="21"/>
                <w:highlight w:val="none"/>
                <w:vertAlign w:val="baseline"/>
              </w:rPr>
              <w:t>分，不满足不得分。</w:t>
            </w:r>
          </w:p>
          <w:p w14:paraId="2C0DCAEA">
            <w:pPr>
              <w:pStyle w:val="34"/>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安全性要求：确保数据全生命周期的安全。系统采用统一认证中心实现集中身份认证和权限管理，提供数据加密、脱敏、备份与灾备方案。确保数据安全。</w:t>
            </w:r>
            <w:r>
              <w:rPr>
                <w:rFonts w:hint="eastAsia" w:ascii="宋体" w:hAnsi="宋体" w:eastAsia="宋体" w:cs="宋体"/>
                <w:b w:val="0"/>
                <w:bCs w:val="0"/>
                <w:i w:val="0"/>
                <w:iCs w:val="0"/>
                <w:color w:val="auto"/>
                <w:spacing w:val="0"/>
                <w:w w:val="100"/>
                <w:sz w:val="21"/>
                <w:szCs w:val="21"/>
                <w:highlight w:val="none"/>
                <w:vertAlign w:val="baseline"/>
                <w:lang w:val="en-US" w:eastAsia="zh-CN"/>
              </w:rPr>
              <w:t>投标文件中须</w:t>
            </w:r>
            <w:r>
              <w:rPr>
                <w:rFonts w:hint="eastAsia" w:ascii="宋体" w:hAnsi="宋体" w:eastAsia="宋体" w:cs="宋体"/>
                <w:b w:val="0"/>
                <w:bCs w:val="0"/>
                <w:i w:val="0"/>
                <w:iCs w:val="0"/>
                <w:color w:val="auto"/>
                <w:spacing w:val="0"/>
                <w:w w:val="100"/>
                <w:sz w:val="21"/>
                <w:szCs w:val="21"/>
                <w:highlight w:val="none"/>
                <w:vertAlign w:val="baseline"/>
              </w:rPr>
              <w:t>提供专项安全方案。需详细说明</w:t>
            </w:r>
            <w:r>
              <w:rPr>
                <w:rFonts w:hint="eastAsia" w:ascii="宋体" w:hAnsi="宋体" w:eastAsia="宋体" w:cs="宋体"/>
                <w:b w:val="0"/>
                <w:bCs w:val="0"/>
                <w:i w:val="0"/>
                <w:iCs w:val="0"/>
                <w:color w:val="auto"/>
                <w:spacing w:val="0"/>
                <w:w w:val="100"/>
                <w:sz w:val="21"/>
                <w:szCs w:val="21"/>
                <w:highlight w:val="none"/>
                <w:vertAlign w:val="baseline"/>
                <w:lang w:val="en-US" w:eastAsia="zh-CN"/>
              </w:rPr>
              <w:t>安全方</w:t>
            </w:r>
            <w:r>
              <w:rPr>
                <w:rFonts w:hint="eastAsia" w:ascii="宋体" w:hAnsi="宋体" w:eastAsia="宋体" w:cs="宋体"/>
                <w:b w:val="0"/>
                <w:bCs w:val="0"/>
                <w:i w:val="0"/>
                <w:iCs w:val="0"/>
                <w:color w:val="auto"/>
                <w:spacing w:val="0"/>
                <w:w w:val="100"/>
                <w:sz w:val="21"/>
                <w:szCs w:val="21"/>
                <w:highlight w:val="none"/>
                <w:vertAlign w:val="baseline"/>
              </w:rPr>
              <w:t>案，完全满足要求得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2</w:t>
            </w:r>
            <w:r>
              <w:rPr>
                <w:rFonts w:hint="eastAsia" w:ascii="宋体" w:hAnsi="宋体" w:eastAsia="宋体" w:cs="宋体"/>
                <w:b w:val="0"/>
                <w:bCs w:val="0"/>
                <w:i w:val="0"/>
                <w:iCs w:val="0"/>
                <w:color w:val="auto"/>
                <w:spacing w:val="0"/>
                <w:w w:val="100"/>
                <w:sz w:val="21"/>
                <w:szCs w:val="21"/>
                <w:highlight w:val="none"/>
                <w:vertAlign w:val="baseline"/>
              </w:rPr>
              <w:t>分，不满足不得分。</w:t>
            </w:r>
          </w:p>
          <w:p w14:paraId="6E74481A">
            <w:pPr>
              <w:pStyle w:val="34"/>
              <w:keepNext w:val="0"/>
              <w:keepLines w:val="0"/>
              <w:widowControl/>
              <w:suppressLineNumbers w:val="0"/>
              <w:spacing w:before="0" w:beforeAutospacing="0" w:after="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3</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兼容性要求：系统应支持主流浏览器（Chrome，QQ浏览器等最新版本）访问，移动端应用需兼容iOS和Android主流操作系统。</w:t>
            </w:r>
            <w:r>
              <w:rPr>
                <w:rFonts w:hint="eastAsia" w:ascii="宋体" w:hAnsi="宋体" w:eastAsia="宋体" w:cs="宋体"/>
                <w:b w:val="0"/>
                <w:bCs w:val="0"/>
                <w:i w:val="0"/>
                <w:iCs w:val="0"/>
                <w:color w:val="auto"/>
                <w:spacing w:val="0"/>
                <w:w w:val="100"/>
                <w:sz w:val="21"/>
                <w:szCs w:val="21"/>
                <w:highlight w:val="none"/>
                <w:vertAlign w:val="baseline"/>
                <w:lang w:val="en-US" w:eastAsia="zh-CN"/>
              </w:rPr>
              <w:t>投标文件中须需提供详细说明书，</w:t>
            </w:r>
            <w:r>
              <w:rPr>
                <w:rFonts w:hint="eastAsia" w:ascii="宋体" w:hAnsi="宋体" w:eastAsia="宋体" w:cs="宋体"/>
                <w:b w:val="0"/>
                <w:bCs w:val="0"/>
                <w:i w:val="0"/>
                <w:iCs w:val="0"/>
                <w:color w:val="auto"/>
                <w:spacing w:val="0"/>
                <w:w w:val="100"/>
                <w:sz w:val="21"/>
                <w:szCs w:val="21"/>
                <w:highlight w:val="none"/>
                <w:vertAlign w:val="baseline"/>
              </w:rPr>
              <w:t>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2</w:t>
            </w:r>
            <w:r>
              <w:rPr>
                <w:rFonts w:hint="eastAsia" w:ascii="宋体" w:hAnsi="宋体" w:eastAsia="宋体" w:cs="宋体"/>
                <w:b w:val="0"/>
                <w:bCs w:val="0"/>
                <w:i w:val="0"/>
                <w:iCs w:val="0"/>
                <w:color w:val="auto"/>
                <w:spacing w:val="0"/>
                <w:w w:val="100"/>
                <w:sz w:val="21"/>
                <w:szCs w:val="21"/>
                <w:highlight w:val="none"/>
                <w:vertAlign w:val="baseline"/>
              </w:rPr>
              <w:t>分，不满足不得分。</w:t>
            </w:r>
          </w:p>
          <w:p w14:paraId="665734FC">
            <w:pPr>
              <w:pStyle w:val="34"/>
              <w:keepNext w:val="0"/>
              <w:keepLines w:val="0"/>
              <w:widowControl/>
              <w:suppressLineNumbers w:val="0"/>
              <w:spacing w:before="0" w:beforeAutospacing="0" w:after="0" w:afterAutospacing="0" w:line="360" w:lineRule="auto"/>
              <w:ind w:left="0" w:leftChars="0" w:right="0" w:rightChars="0"/>
              <w:jc w:val="both"/>
              <w:rPr>
                <w:rFonts w:hint="eastAsia" w:ascii="宋体" w:hAnsi="宋体" w:eastAsia="宋体" w:cs="宋体"/>
                <w:color w:val="auto"/>
                <w:spacing w:val="7"/>
                <w:kern w:val="0"/>
                <w:sz w:val="21"/>
                <w:szCs w:val="21"/>
                <w:highlight w:val="none"/>
                <w:lang w:val="en-US" w:eastAsia="zh-CN" w:bidi="ar-SA"/>
              </w:rPr>
            </w:pPr>
            <w:r>
              <w:rPr>
                <w:rFonts w:hint="eastAsia" w:ascii="宋体" w:hAnsi="宋体" w:eastAsia="宋体" w:cs="宋体"/>
                <w:b w:val="0"/>
                <w:bCs w:val="0"/>
                <w:i w:val="0"/>
                <w:iCs w:val="0"/>
                <w:color w:val="auto"/>
                <w:spacing w:val="0"/>
                <w:w w:val="100"/>
                <w:sz w:val="21"/>
                <w:szCs w:val="21"/>
                <w:highlight w:val="none"/>
                <w:vertAlign w:val="baseline"/>
              </w:rPr>
              <w:t>4</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数据共享和对接要求：系统预留标准化接口，可将阳江市智慧托育信息系统的业务数据共享到省级托育信息管理平台。通过统一的数据格式和API规范，满足数据共享的需求。</w:t>
            </w:r>
            <w:r>
              <w:rPr>
                <w:rFonts w:hint="eastAsia" w:ascii="宋体" w:hAnsi="宋体" w:eastAsia="宋体" w:cs="宋体"/>
                <w:b w:val="0"/>
                <w:bCs w:val="0"/>
                <w:i w:val="0"/>
                <w:iCs w:val="0"/>
                <w:color w:val="auto"/>
                <w:spacing w:val="0"/>
                <w:w w:val="100"/>
                <w:sz w:val="21"/>
                <w:szCs w:val="21"/>
                <w:highlight w:val="none"/>
                <w:vertAlign w:val="baseline"/>
                <w:lang w:val="en-US" w:eastAsia="zh-CN"/>
              </w:rPr>
              <w:t>投标文件中须需提供详细说明书，</w:t>
            </w:r>
            <w:r>
              <w:rPr>
                <w:rFonts w:hint="eastAsia" w:ascii="宋体" w:hAnsi="宋体" w:eastAsia="宋体" w:cs="宋体"/>
                <w:b w:val="0"/>
                <w:bCs w:val="0"/>
                <w:i w:val="0"/>
                <w:iCs w:val="0"/>
                <w:color w:val="auto"/>
                <w:spacing w:val="0"/>
                <w:w w:val="100"/>
                <w:sz w:val="21"/>
                <w:szCs w:val="21"/>
                <w:highlight w:val="none"/>
                <w:vertAlign w:val="baseline"/>
              </w:rPr>
              <w:t>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2</w:t>
            </w:r>
            <w:r>
              <w:rPr>
                <w:rFonts w:hint="eastAsia" w:ascii="宋体" w:hAnsi="宋体" w:eastAsia="宋体" w:cs="宋体"/>
                <w:b w:val="0"/>
                <w:bCs w:val="0"/>
                <w:i w:val="0"/>
                <w:iCs w:val="0"/>
                <w:color w:val="auto"/>
                <w:spacing w:val="0"/>
                <w:w w:val="100"/>
                <w:sz w:val="21"/>
                <w:szCs w:val="21"/>
                <w:highlight w:val="none"/>
                <w:vertAlign w:val="baseline"/>
              </w:rPr>
              <w:t>分，不满足不得分。</w:t>
            </w:r>
          </w:p>
        </w:tc>
      </w:tr>
      <w:tr w14:paraId="647BC1D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755FC02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520" w:type="dxa"/>
            <w:vAlign w:val="center"/>
          </w:tcPr>
          <w:p w14:paraId="300E4899">
            <w:pPr>
              <w:widowControl/>
              <w:shd w:val="clear" w:color="auto" w:fill="auto"/>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产品功能设计（25.0分）</w:t>
            </w:r>
          </w:p>
        </w:tc>
        <w:tc>
          <w:tcPr>
            <w:tcW w:w="5544" w:type="dxa"/>
            <w:vAlign w:val="center"/>
          </w:tcPr>
          <w:p w14:paraId="1E4A63EC">
            <w:pPr>
              <w:pStyle w:val="34"/>
              <w:keepNext w:val="0"/>
              <w:keepLines w:val="0"/>
              <w:widowControl/>
              <w:suppressLineNumbers w:val="0"/>
              <w:spacing w:before="60" w:beforeAutospacing="0" w:after="60" w:afterAutospacing="0" w:line="360" w:lineRule="auto"/>
              <w:ind w:left="0" w:right="0"/>
              <w:jc w:val="both"/>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color w:val="auto"/>
                <w:sz w:val="21"/>
                <w:szCs w:val="21"/>
                <w:highlight w:val="none"/>
              </w:rPr>
              <w:t>根据投标人提供的系统功能响应说明，</w:t>
            </w:r>
            <w:r>
              <w:rPr>
                <w:rStyle w:val="138"/>
                <w:rFonts w:hint="eastAsia" w:ascii="宋体" w:hAnsi="宋体" w:eastAsia="宋体" w:cs="宋体"/>
                <w:b w:val="0"/>
                <w:bCs w:val="0"/>
                <w:color w:val="auto"/>
                <w:sz w:val="21"/>
                <w:szCs w:val="21"/>
                <w:highlight w:val="none"/>
              </w:rPr>
              <w:t>功能截图可作为佐证材料</w:t>
            </w:r>
            <w:r>
              <w:rPr>
                <w:rFonts w:hint="eastAsia" w:ascii="宋体" w:hAnsi="宋体" w:eastAsia="宋体" w:cs="宋体"/>
                <w:b w:val="0"/>
                <w:bCs w:val="0"/>
                <w:color w:val="auto"/>
                <w:sz w:val="21"/>
                <w:szCs w:val="21"/>
                <w:highlight w:val="none"/>
              </w:rPr>
              <w:t>，投标人须在投标文件中提供与下述要求对应的功能简要说明。</w:t>
            </w:r>
          </w:p>
          <w:p w14:paraId="5A8FC152">
            <w:pPr>
              <w:pStyle w:val="34"/>
              <w:keepNext w:val="0"/>
              <w:keepLines w:val="0"/>
              <w:widowControl/>
              <w:suppressLineNumbers w:val="0"/>
              <w:spacing w:before="60" w:beforeAutospacing="0" w:after="6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1.数据大屏子系统：婴幼儿信息管理、托位与入托统计、托育机构从业人员管理、人口与托位指标等功能进行打分。完全满足要求得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6</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分；其他不得分。</w:t>
            </w:r>
          </w:p>
          <w:p w14:paraId="72AC4AD0">
            <w:pPr>
              <w:pStyle w:val="34"/>
              <w:keepNext w:val="0"/>
              <w:keepLines w:val="0"/>
              <w:widowControl/>
              <w:suppressLineNumbers w:val="0"/>
              <w:spacing w:before="60" w:beforeAutospacing="0" w:after="6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2.政府监管子系统：托育数据监管、托育质量评估、托育机构管理、婴幼儿健康监测、考勤管理、补贴管理、督导巡检管理、信息公示发布、建议反馈、托育培训管理等功能打分。完全满足要求得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6</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分；其他不得分。</w:t>
            </w:r>
          </w:p>
          <w:p w14:paraId="131226BC">
            <w:pPr>
              <w:pStyle w:val="34"/>
              <w:keepNext w:val="0"/>
              <w:keepLines w:val="0"/>
              <w:widowControl/>
              <w:suppressLineNumbers w:val="0"/>
              <w:spacing w:before="60" w:beforeAutospacing="0" w:after="60" w:afterAutospacing="0" w:line="360" w:lineRule="auto"/>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3.托育服务机构运营子系统：托育日常管理、每日照护记录管理。可在线管理机构每一在托婴幼儿的每日照护记录情况，记录孩子每日的三检、饮食记录、照护记录、睡眠换尿布等信息。</w:t>
            </w:r>
            <w:r>
              <w:rPr>
                <w:rFonts w:hint="eastAsia" w:ascii="宋体" w:hAnsi="宋体" w:eastAsia="宋体" w:cs="宋体"/>
                <w:b w:val="0"/>
                <w:bCs w:val="0"/>
                <w:i w:val="0"/>
                <w:iCs w:val="0"/>
                <w:color w:val="auto"/>
                <w:spacing w:val="0"/>
                <w:w w:val="100"/>
                <w:sz w:val="21"/>
                <w:szCs w:val="21"/>
                <w:highlight w:val="none"/>
                <w:vertAlign w:val="baseline"/>
                <w:lang w:val="en-US" w:eastAsia="zh-CN"/>
              </w:rPr>
              <w:t>教师端子系统交付APP端及小程序端口，</w:t>
            </w:r>
            <w:r>
              <w:rPr>
                <w:rFonts w:hint="eastAsia" w:ascii="宋体" w:hAnsi="宋体" w:eastAsia="宋体" w:cs="宋体"/>
                <w:b w:val="0"/>
                <w:bCs w:val="0"/>
                <w:i w:val="0"/>
                <w:iCs w:val="0"/>
                <w:color w:val="auto"/>
                <w:spacing w:val="0"/>
                <w:w w:val="100"/>
                <w:sz w:val="21"/>
                <w:szCs w:val="21"/>
                <w:highlight w:val="none"/>
                <w:vertAlign w:val="baseline"/>
              </w:rPr>
              <w:t>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7</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分；其他不得分。</w:t>
            </w:r>
          </w:p>
          <w:p w14:paraId="6DE28F8E">
            <w:pPr>
              <w:widowControl/>
              <w:numPr>
                <w:ilvl w:val="0"/>
                <w:numId w:val="0"/>
              </w:numPr>
              <w:shd w:val="clear" w:color="auto" w:fill="auto"/>
              <w:tabs>
                <w:tab w:val="left" w:pos="5260"/>
              </w:tabs>
              <w:spacing w:after="0" w:line="360" w:lineRule="auto"/>
              <w:ind w:left="0" w:leftChars="0" w:right="208" w:rightChars="99" w:firstLine="0" w:firstLineChars="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4.家长服务子系统：</w:t>
            </w:r>
            <w:r>
              <w:rPr>
                <w:rFonts w:hint="eastAsia" w:ascii="宋体" w:hAnsi="宋体" w:eastAsia="宋体" w:cs="宋体"/>
                <w:color w:val="auto"/>
                <w:sz w:val="21"/>
                <w:szCs w:val="21"/>
                <w:highlight w:val="none"/>
              </w:rPr>
              <w:t>为婴幼儿家庭打造的一站式家园共育平台，它通过</w:t>
            </w:r>
            <w:r>
              <w:rPr>
                <w:rFonts w:hint="eastAsia" w:ascii="宋体" w:hAnsi="宋体" w:eastAsia="宋体" w:cs="宋体"/>
                <w:color w:val="auto"/>
                <w:sz w:val="21"/>
                <w:szCs w:val="21"/>
                <w:highlight w:val="none"/>
                <w:lang w:val="en-US" w:eastAsia="zh-CN"/>
              </w:rPr>
              <w:t>实时</w:t>
            </w:r>
            <w:r>
              <w:rPr>
                <w:rFonts w:hint="eastAsia" w:ascii="宋体" w:hAnsi="宋体" w:eastAsia="宋体" w:cs="宋体"/>
                <w:color w:val="auto"/>
                <w:sz w:val="21"/>
                <w:szCs w:val="21"/>
                <w:highlight w:val="none"/>
              </w:rPr>
              <w:t>分享</w:t>
            </w:r>
            <w:r>
              <w:rPr>
                <w:rFonts w:hint="eastAsia" w:ascii="宋体" w:hAnsi="宋体" w:eastAsia="宋体" w:cs="宋体"/>
                <w:color w:val="auto"/>
                <w:sz w:val="21"/>
                <w:szCs w:val="21"/>
                <w:highlight w:val="none"/>
                <w:lang w:val="en-US" w:eastAsia="zh-CN"/>
              </w:rPr>
              <w:t>婴幼儿接离园通知、园区班级通知以及婴幼儿托育合同课时消耗情况，</w:t>
            </w:r>
            <w:r>
              <w:rPr>
                <w:rFonts w:hint="eastAsia" w:ascii="宋体" w:hAnsi="宋体" w:eastAsia="宋体" w:cs="宋体"/>
                <w:color w:val="auto"/>
                <w:sz w:val="21"/>
                <w:szCs w:val="21"/>
                <w:highlight w:val="none"/>
              </w:rPr>
              <w:t>周边托育资源查找功能。</w:t>
            </w:r>
            <w:r>
              <w:rPr>
                <w:rFonts w:hint="eastAsia" w:ascii="宋体" w:hAnsi="宋体" w:eastAsia="宋体" w:cs="宋体"/>
                <w:color w:val="auto"/>
                <w:sz w:val="21"/>
                <w:szCs w:val="21"/>
                <w:highlight w:val="none"/>
                <w:lang w:val="en-US" w:eastAsia="zh-CN"/>
              </w:rPr>
              <w:t>交付APP端加小程序端口</w:t>
            </w:r>
            <w:r>
              <w:rPr>
                <w:rFonts w:hint="eastAsia" w:ascii="宋体" w:hAnsi="宋体" w:eastAsia="宋体" w:cs="宋体"/>
                <w:b w:val="0"/>
                <w:bCs w:val="0"/>
                <w:i w:val="0"/>
                <w:iCs w:val="0"/>
                <w:color w:val="auto"/>
                <w:spacing w:val="0"/>
                <w:w w:val="100"/>
                <w:sz w:val="21"/>
                <w:szCs w:val="21"/>
                <w:highlight w:val="none"/>
                <w:vertAlign w:val="baseline"/>
              </w:rPr>
              <w:t>。完全满足要求得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6</w:t>
            </w:r>
            <w:r>
              <w:rPr>
                <w:rFonts w:hint="eastAsia" w:ascii="宋体" w:hAnsi="宋体" w:eastAsia="宋体" w:cs="宋体"/>
                <w:b w:val="0"/>
                <w:bCs w:val="0"/>
                <w:i w:val="0"/>
                <w:iCs w:val="0"/>
                <w:color w:val="auto"/>
                <w:spacing w:val="0"/>
                <w:w w:val="100"/>
                <w:sz w:val="21"/>
                <w:szCs w:val="21"/>
                <w:highlight w:val="none"/>
                <w:vertAlign w:val="baseline"/>
              </w:rPr>
              <w:t>分，部分满足得</w:t>
            </w:r>
            <w:r>
              <w:rPr>
                <w:rFonts w:hint="eastAsia" w:ascii="宋体" w:hAnsi="宋体" w:eastAsia="宋体" w:cs="宋体"/>
                <w:b w:val="0"/>
                <w:bCs w:val="0"/>
                <w:i w:val="0"/>
                <w:iCs w:val="0"/>
                <w:color w:val="auto"/>
                <w:spacing w:val="0"/>
                <w:w w:val="100"/>
                <w:sz w:val="21"/>
                <w:szCs w:val="21"/>
                <w:highlight w:val="none"/>
                <w:vertAlign w:val="baseline"/>
                <w:lang w:val="en-US" w:eastAsia="zh-CN"/>
              </w:rPr>
              <w:t>4</w:t>
            </w:r>
            <w:r>
              <w:rPr>
                <w:rFonts w:hint="eastAsia" w:ascii="宋体" w:hAnsi="宋体" w:eastAsia="宋体" w:cs="宋体"/>
                <w:b w:val="0"/>
                <w:bCs w:val="0"/>
                <w:i w:val="0"/>
                <w:iCs w:val="0"/>
                <w:color w:val="auto"/>
                <w:spacing w:val="0"/>
                <w:w w:val="100"/>
                <w:sz w:val="21"/>
                <w:szCs w:val="21"/>
                <w:highlight w:val="none"/>
                <w:vertAlign w:val="baseline"/>
              </w:rPr>
              <w:t>分；其他不得分。</w:t>
            </w:r>
          </w:p>
        </w:tc>
      </w:tr>
      <w:tr w14:paraId="48EA85D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3CAC40F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520" w:type="dxa"/>
            <w:vAlign w:val="center"/>
          </w:tcPr>
          <w:p w14:paraId="4867D769">
            <w:pPr>
              <w:shd w:val="clear" w:color="auto" w:fill="auto"/>
              <w:spacing w:after="0" w:line="360" w:lineRule="auto"/>
              <w:jc w:val="center"/>
              <w:rPr>
                <w:rFonts w:hint="eastAsia" w:ascii="宋体" w:hAnsi="宋体" w:eastAsia="宋体" w:cs="宋体"/>
                <w:color w:val="auto"/>
                <w:sz w:val="21"/>
                <w:szCs w:val="21"/>
                <w:highlight w:val="none"/>
                <w:lang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托育课程体系（20.0分）</w:t>
            </w:r>
          </w:p>
        </w:tc>
        <w:tc>
          <w:tcPr>
            <w:tcW w:w="5544" w:type="dxa"/>
            <w:vAlign w:val="center"/>
          </w:tcPr>
          <w:p w14:paraId="562B3823">
            <w:pPr>
              <w:widowControl/>
              <w:numPr>
                <w:ilvl w:val="0"/>
                <w:numId w:val="0"/>
              </w:numPr>
              <w:shd w:val="clear" w:color="auto" w:fill="auto"/>
              <w:tabs>
                <w:tab w:val="left" w:pos="5260"/>
              </w:tabs>
              <w:spacing w:after="0" w:line="360" w:lineRule="auto"/>
              <w:ind w:left="-10" w:leftChars="0" w:right="208" w:rightChars="99" w:firstLine="0" w:firstLineChars="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rPr>
              <w:t>课程集成要求：系统需预集成一套经国内</w:t>
            </w:r>
            <w:r>
              <w:rPr>
                <w:rFonts w:hint="eastAsia" w:ascii="宋体" w:hAnsi="宋体" w:eastAsia="宋体" w:cs="宋体"/>
                <w:b w:val="0"/>
                <w:bCs w:val="0"/>
                <w:i w:val="0"/>
                <w:iCs w:val="0"/>
                <w:color w:val="auto"/>
                <w:spacing w:val="0"/>
                <w:w w:val="100"/>
                <w:sz w:val="21"/>
                <w:szCs w:val="21"/>
                <w:highlight w:val="none"/>
                <w:vertAlign w:val="baseline"/>
                <w:lang w:val="en-US" w:eastAsia="zh-CN"/>
              </w:rPr>
              <w:t>正规</w:t>
            </w:r>
            <w:r>
              <w:rPr>
                <w:rFonts w:hint="eastAsia" w:ascii="宋体" w:hAnsi="宋体" w:eastAsia="宋体" w:cs="宋体"/>
                <w:b w:val="0"/>
                <w:bCs w:val="0"/>
                <w:i w:val="0"/>
                <w:iCs w:val="0"/>
                <w:color w:val="auto"/>
                <w:spacing w:val="0"/>
                <w:w w:val="100"/>
                <w:sz w:val="21"/>
                <w:szCs w:val="21"/>
                <w:highlight w:val="none"/>
                <w:vertAlign w:val="baseline"/>
              </w:rPr>
              <w:t>出版社正式出版、符合0-3岁婴幼儿身心发展规律的标准化托育课程体系，并需融入平台的教学管理业务流程，实现课程资源库，教学评估量表，自动生成成长档案与发展评估报告。须在投标文件中明确列出预集成的标准化课程体系名称、出版单位、并提供该课程的出版</w:t>
            </w:r>
            <w:r>
              <w:rPr>
                <w:rFonts w:hint="eastAsia" w:ascii="宋体" w:hAnsi="宋体" w:eastAsia="宋体" w:cs="宋体"/>
                <w:b w:val="0"/>
                <w:bCs w:val="0"/>
                <w:i w:val="0"/>
                <w:iCs w:val="0"/>
                <w:color w:val="auto"/>
                <w:spacing w:val="0"/>
                <w:w w:val="100"/>
                <w:sz w:val="21"/>
                <w:szCs w:val="21"/>
                <w:highlight w:val="none"/>
                <w:vertAlign w:val="baseline"/>
                <w:lang w:val="en-US" w:eastAsia="zh-CN"/>
              </w:rPr>
              <w:t>合同</w:t>
            </w:r>
            <w:r>
              <w:rPr>
                <w:rFonts w:hint="eastAsia" w:ascii="宋体" w:hAnsi="宋体" w:eastAsia="宋体" w:cs="宋体"/>
                <w:b w:val="0"/>
                <w:bCs w:val="0"/>
                <w:i w:val="0"/>
                <w:iCs w:val="0"/>
                <w:color w:val="auto"/>
                <w:spacing w:val="0"/>
                <w:w w:val="100"/>
                <w:sz w:val="21"/>
                <w:szCs w:val="21"/>
                <w:highlight w:val="none"/>
                <w:vertAlign w:val="baseline"/>
              </w:rPr>
              <w:t>、并提供集成发展评估报告，量表的功能截图</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color w:val="auto"/>
                <w:sz w:val="21"/>
                <w:szCs w:val="21"/>
                <w:highlight w:val="none"/>
              </w:rPr>
              <w:t>截图可为本项目模拟集成演示截图。</w:t>
            </w:r>
            <w:r>
              <w:rPr>
                <w:rFonts w:hint="eastAsia" w:ascii="宋体" w:hAnsi="宋体" w:eastAsia="宋体" w:cs="宋体"/>
                <w:b w:val="0"/>
                <w:bCs w:val="0"/>
                <w:i w:val="0"/>
                <w:iCs w:val="0"/>
                <w:color w:val="auto"/>
                <w:spacing w:val="0"/>
                <w:w w:val="100"/>
                <w:sz w:val="21"/>
                <w:szCs w:val="21"/>
                <w:highlight w:val="none"/>
                <w:vertAlign w:val="baseline"/>
                <w:lang w:val="en-US" w:eastAsia="zh-CN"/>
              </w:rPr>
              <w:t>同时需提供该课程出版实物</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color w:val="auto"/>
                <w:sz w:val="21"/>
                <w:szCs w:val="21"/>
                <w:highlight w:val="none"/>
              </w:rPr>
              <w:t>课程可为中标人主体拥有或同属集团公司及集团下属公司拥有，或提供出版社出具完整有效的数字化授权文件（授权允许部署本项目平台，供全市托育机构教师线上学习使用）</w:t>
            </w:r>
            <w:r>
              <w:rPr>
                <w:rFonts w:hint="eastAsia" w:ascii="宋体" w:hAnsi="宋体" w:eastAsia="宋体" w:cs="宋体"/>
                <w:b w:val="0"/>
                <w:bCs w:val="0"/>
                <w:i w:val="0"/>
                <w:iCs w:val="0"/>
                <w:color w:val="auto"/>
                <w:spacing w:val="0"/>
                <w:w w:val="100"/>
                <w:sz w:val="21"/>
                <w:szCs w:val="21"/>
                <w:highlight w:val="none"/>
                <w:vertAlign w:val="baseline"/>
                <w:lang w:val="en-US" w:eastAsia="zh-CN"/>
              </w:rPr>
              <w:t>。</w:t>
            </w:r>
            <w:r>
              <w:rPr>
                <w:rFonts w:hint="eastAsia" w:ascii="宋体" w:hAnsi="宋体" w:eastAsia="宋体" w:cs="宋体"/>
                <w:color w:val="auto"/>
                <w:sz w:val="21"/>
                <w:szCs w:val="21"/>
                <w:highlight w:val="none"/>
              </w:rPr>
              <w:t>课程出版实物原件于中标后签订合同前由采购人核验，留存复印件归档</w:t>
            </w:r>
            <w:r>
              <w:rPr>
                <w:rFonts w:hint="eastAsia" w:ascii="宋体" w:hAnsi="宋体" w:eastAsia="宋体" w:cs="宋体"/>
                <w:color w:val="auto"/>
                <w:sz w:val="21"/>
                <w:szCs w:val="21"/>
                <w:highlight w:val="none"/>
                <w:lang w:eastAsia="zh-CN"/>
              </w:rPr>
              <w:t>。</w:t>
            </w:r>
            <w:r>
              <w:rPr>
                <w:rFonts w:hint="eastAsia" w:ascii="宋体" w:hAnsi="宋体" w:eastAsia="宋体" w:cs="宋体"/>
                <w:b w:val="0"/>
                <w:bCs w:val="0"/>
                <w:i w:val="0"/>
                <w:iCs w:val="0"/>
                <w:color w:val="auto"/>
                <w:spacing w:val="0"/>
                <w:w w:val="100"/>
                <w:sz w:val="21"/>
                <w:szCs w:val="21"/>
                <w:highlight w:val="none"/>
                <w:vertAlign w:val="baseline"/>
              </w:rPr>
              <w:t>完全满足要求得</w:t>
            </w:r>
            <w:r>
              <w:rPr>
                <w:rFonts w:hint="eastAsia" w:ascii="宋体" w:hAnsi="宋体" w:eastAsia="宋体" w:cs="宋体"/>
                <w:b w:val="0"/>
                <w:bCs w:val="0"/>
                <w:i w:val="0"/>
                <w:iCs w:val="0"/>
                <w:color w:val="auto"/>
                <w:spacing w:val="0"/>
                <w:w w:val="100"/>
                <w:sz w:val="21"/>
                <w:szCs w:val="21"/>
                <w:highlight w:val="none"/>
                <w:vertAlign w:val="baseline"/>
                <w:lang w:val="en-US" w:eastAsia="zh-CN"/>
              </w:rPr>
              <w:t>20</w:t>
            </w:r>
            <w:r>
              <w:rPr>
                <w:rFonts w:hint="eastAsia" w:ascii="宋体" w:hAnsi="宋体" w:eastAsia="宋体" w:cs="宋体"/>
                <w:b w:val="0"/>
                <w:bCs w:val="0"/>
                <w:i w:val="0"/>
                <w:iCs w:val="0"/>
                <w:color w:val="auto"/>
                <w:spacing w:val="0"/>
                <w:w w:val="100"/>
                <w:sz w:val="21"/>
                <w:szCs w:val="21"/>
                <w:highlight w:val="none"/>
                <w:vertAlign w:val="baseline"/>
              </w:rPr>
              <w:t>分</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rPr>
              <w:t>不满足不得分。</w:t>
            </w:r>
          </w:p>
        </w:tc>
      </w:tr>
      <w:tr w14:paraId="5388BCD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restart"/>
            <w:vAlign w:val="center"/>
          </w:tcPr>
          <w:p w14:paraId="6419F52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商务</w:t>
            </w:r>
          </w:p>
          <w:p w14:paraId="12CC6EF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部分</w:t>
            </w:r>
          </w:p>
        </w:tc>
        <w:tc>
          <w:tcPr>
            <w:tcW w:w="2520" w:type="dxa"/>
            <w:vAlign w:val="center"/>
          </w:tcPr>
          <w:p w14:paraId="79434D4E">
            <w:pPr>
              <w:shd w:val="clear" w:color="auto" w:fill="auto"/>
              <w:spacing w:after="0" w:line="360" w:lineRule="auto"/>
              <w:jc w:val="both"/>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z w:val="21"/>
                <w:szCs w:val="21"/>
                <w:highlight w:val="none"/>
                <w:lang w:val="zh-CN" w:eastAsia="zh-CN"/>
              </w:rPr>
              <w:t>项目业绩要求（</w:t>
            </w:r>
            <w:r>
              <w:rPr>
                <w:rFonts w:hint="eastAsia" w:ascii="宋体" w:hAnsi="宋体" w:eastAsia="宋体" w:cs="宋体"/>
                <w:b w:val="0"/>
                <w:bCs w:val="0"/>
                <w:color w:val="auto"/>
                <w:sz w:val="21"/>
                <w:szCs w:val="21"/>
                <w:highlight w:val="none"/>
                <w:lang w:val="en-US" w:eastAsia="zh-CN"/>
              </w:rPr>
              <w:t>4.0分</w:t>
            </w:r>
            <w:r>
              <w:rPr>
                <w:rFonts w:hint="eastAsia" w:ascii="宋体" w:hAnsi="宋体" w:eastAsia="宋体" w:cs="宋体"/>
                <w:b w:val="0"/>
                <w:bCs w:val="0"/>
                <w:color w:val="auto"/>
                <w:sz w:val="21"/>
                <w:szCs w:val="21"/>
                <w:highlight w:val="none"/>
                <w:lang w:val="zh-CN" w:eastAsia="zh-CN"/>
              </w:rPr>
              <w:t>）</w:t>
            </w:r>
          </w:p>
        </w:tc>
        <w:tc>
          <w:tcPr>
            <w:tcW w:w="5544" w:type="dxa"/>
            <w:shd w:val="clear" w:color="auto" w:fill="auto"/>
            <w:vAlign w:val="top"/>
          </w:tcPr>
          <w:p w14:paraId="51845A52">
            <w:pPr>
              <w:pStyle w:val="34"/>
              <w:keepNext w:val="0"/>
              <w:keepLines w:val="0"/>
              <w:widowControl/>
              <w:suppressLineNumbers w:val="0"/>
              <w:spacing w:before="60" w:beforeAutospacing="0" w:after="60" w:afterAutospacing="0"/>
              <w:ind w:left="0" w:leftChars="0" w:right="0" w:rightChars="0"/>
              <w:jc w:val="both"/>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rPr>
              <w:t>投标人需提供近三年内完成的</w:t>
            </w:r>
            <w:r>
              <w:rPr>
                <w:rFonts w:hint="eastAsia" w:ascii="宋体" w:hAnsi="宋体" w:eastAsia="宋体" w:cs="宋体"/>
                <w:b w:val="0"/>
                <w:bCs w:val="0"/>
                <w:i w:val="0"/>
                <w:iCs w:val="0"/>
                <w:color w:val="auto"/>
                <w:spacing w:val="0"/>
                <w:w w:val="100"/>
                <w:sz w:val="21"/>
                <w:szCs w:val="21"/>
                <w:highlight w:val="none"/>
                <w:vertAlign w:val="baseline"/>
                <w:lang w:val="en-US" w:eastAsia="zh-CN"/>
              </w:rPr>
              <w:t>至少1个同类项目</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软件类</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业绩</w:t>
            </w:r>
            <w:r>
              <w:rPr>
                <w:rFonts w:hint="eastAsia" w:ascii="宋体" w:hAnsi="宋体" w:eastAsia="宋体" w:cs="宋体"/>
                <w:b w:val="0"/>
                <w:bCs w:val="0"/>
                <w:i w:val="0"/>
                <w:iCs w:val="0"/>
                <w:color w:val="auto"/>
                <w:spacing w:val="0"/>
                <w:w w:val="100"/>
                <w:sz w:val="21"/>
                <w:szCs w:val="21"/>
                <w:highlight w:val="none"/>
                <w:vertAlign w:val="baseline"/>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满分4分，</w:t>
            </w:r>
            <w:r>
              <w:rPr>
                <w:rFonts w:hint="eastAsia" w:ascii="宋体" w:hAnsi="宋体" w:eastAsia="宋体" w:cs="宋体"/>
                <w:b w:val="0"/>
                <w:bCs w:val="0"/>
                <w:i w:val="0"/>
                <w:iCs w:val="0"/>
                <w:color w:val="auto"/>
                <w:spacing w:val="0"/>
                <w:w w:val="100"/>
                <w:sz w:val="21"/>
                <w:szCs w:val="21"/>
                <w:highlight w:val="none"/>
                <w:vertAlign w:val="baseline"/>
              </w:rPr>
              <w:t>不满足不得分。</w:t>
            </w:r>
          </w:p>
          <w:p w14:paraId="2ACF9B2F">
            <w:pPr>
              <w:pStyle w:val="170"/>
              <w:spacing w:before="53" w:line="360" w:lineRule="auto"/>
              <w:ind w:left="111" w:leftChars="0" w:right="103" w:rightChars="0" w:firstLine="34" w:firstLineChars="0"/>
              <w:rPr>
                <w:rFonts w:hint="eastAsia" w:ascii="宋体" w:hAnsi="宋体" w:eastAsia="宋体" w:cs="宋体"/>
                <w:b w:val="0"/>
                <w:bCs w:val="0"/>
                <w:i w:val="0"/>
                <w:iCs w:val="0"/>
                <w:color w:val="auto"/>
                <w:spacing w:val="0"/>
                <w:w w:val="100"/>
                <w:kern w:val="2"/>
                <w:sz w:val="21"/>
                <w:szCs w:val="21"/>
                <w:highlight w:val="none"/>
                <w:vertAlign w:val="baseline"/>
                <w:lang w:val="en-US" w:eastAsia="zh-CN" w:bidi="ar-SA"/>
              </w:rPr>
            </w:pPr>
            <w:r>
              <w:rPr>
                <w:rFonts w:hint="eastAsia" w:ascii="宋体" w:hAnsi="宋体" w:eastAsia="宋体" w:cs="宋体"/>
                <w:color w:val="auto"/>
                <w:sz w:val="21"/>
                <w:szCs w:val="21"/>
                <w:highlight w:val="none"/>
                <w:lang w:val="en-US" w:eastAsia="zh-CN"/>
              </w:rPr>
              <w:t>注：</w:t>
            </w:r>
            <w:r>
              <w:rPr>
                <w:rFonts w:hint="eastAsia" w:ascii="宋体" w:hAnsi="宋体" w:eastAsia="宋体" w:cs="宋体"/>
                <w:color w:val="auto"/>
                <w:sz w:val="21"/>
                <w:szCs w:val="21"/>
                <w:highlight w:val="none"/>
              </w:rPr>
              <w:t>（须提供合同首页、体现项目工作内容页、签字盖章页，以及验收报告；所有证明文件复印件加盖公章。业绩时间认定以项目验收时间为准。）</w:t>
            </w:r>
          </w:p>
        </w:tc>
      </w:tr>
      <w:tr w14:paraId="413942C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center"/>
          </w:tcPr>
          <w:p w14:paraId="7D9AD53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2520" w:type="dxa"/>
            <w:vAlign w:val="center"/>
          </w:tcPr>
          <w:p w14:paraId="4DEFBFB1">
            <w:pPr>
              <w:shd w:val="clear" w:color="auto" w:fill="auto"/>
              <w:spacing w:after="0" w:line="360" w:lineRule="auto"/>
              <w:jc w:val="both"/>
              <w:rPr>
                <w:rFonts w:hint="eastAsia" w:ascii="宋体" w:hAnsi="宋体" w:eastAsia="宋体" w:cs="宋体"/>
                <w:b w:val="0"/>
                <w:bCs w:val="0"/>
                <w:color w:val="auto"/>
                <w:sz w:val="21"/>
                <w:szCs w:val="21"/>
                <w:highlight w:val="none"/>
                <w:lang w:val="zh-CN"/>
              </w:rPr>
            </w:pPr>
            <w:r>
              <w:rPr>
                <w:rFonts w:hint="eastAsia" w:ascii="宋体" w:hAnsi="宋体" w:eastAsia="宋体" w:cs="宋体"/>
                <w:b w:val="0"/>
                <w:bCs w:val="0"/>
                <w:color w:val="auto"/>
                <w:sz w:val="21"/>
                <w:szCs w:val="21"/>
                <w:highlight w:val="none"/>
                <w:lang w:val="zh-CN" w:eastAsia="zh-CN"/>
              </w:rPr>
              <w:t>交货周期（</w:t>
            </w:r>
            <w:r>
              <w:rPr>
                <w:rFonts w:hint="eastAsia" w:ascii="宋体" w:hAnsi="宋体" w:eastAsia="宋体" w:cs="宋体"/>
                <w:b w:val="0"/>
                <w:bCs w:val="0"/>
                <w:color w:val="auto"/>
                <w:sz w:val="21"/>
                <w:szCs w:val="21"/>
                <w:highlight w:val="none"/>
                <w:lang w:val="en-US" w:eastAsia="zh-CN"/>
              </w:rPr>
              <w:t>6.0分</w:t>
            </w:r>
            <w:r>
              <w:rPr>
                <w:rFonts w:hint="eastAsia" w:ascii="宋体" w:hAnsi="宋体" w:eastAsia="宋体" w:cs="宋体"/>
                <w:b w:val="0"/>
                <w:bCs w:val="0"/>
                <w:color w:val="auto"/>
                <w:sz w:val="21"/>
                <w:szCs w:val="21"/>
                <w:highlight w:val="none"/>
                <w:lang w:val="zh-CN" w:eastAsia="zh-CN"/>
              </w:rPr>
              <w:t>）</w:t>
            </w:r>
          </w:p>
        </w:tc>
        <w:tc>
          <w:tcPr>
            <w:tcW w:w="5544" w:type="dxa"/>
            <w:vAlign w:val="center"/>
          </w:tcPr>
          <w:p w14:paraId="786D73DA">
            <w:pPr>
              <w:numPr>
                <w:ilvl w:val="0"/>
                <w:numId w:val="0"/>
              </w:numPr>
              <w:shd w:val="clear" w:color="auto" w:fill="auto"/>
              <w:tabs>
                <w:tab w:val="left" w:pos="5260"/>
              </w:tabs>
              <w:spacing w:after="0" w:line="360" w:lineRule="auto"/>
              <w:ind w:left="0" w:leftChars="0" w:right="208" w:rightChars="99" w:hanging="10" w:firstLineChars="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自签订合同之日起6个月内完成相关交付等工作（含软件开发、部署安装、交付、整改时间等）。</w:t>
            </w:r>
          </w:p>
          <w:p w14:paraId="33FFF4E6">
            <w:pPr>
              <w:numPr>
                <w:ilvl w:val="0"/>
                <w:numId w:val="0"/>
              </w:numPr>
              <w:shd w:val="clear" w:color="auto" w:fill="auto"/>
              <w:tabs>
                <w:tab w:val="left" w:pos="5260"/>
              </w:tabs>
              <w:spacing w:after="0" w:line="360" w:lineRule="auto"/>
              <w:ind w:left="0" w:leftChars="0" w:right="208" w:rightChars="99" w:hanging="10" w:firstLineChars="0"/>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lang w:val="en-US" w:eastAsia="zh-CN"/>
              </w:rPr>
              <w:t>评分标准：供应商承诺的交付时间优于上述要求的，每缩短6天得1分，最高得6分。</w:t>
            </w:r>
          </w:p>
          <w:p w14:paraId="7DE5CF1D">
            <w:pPr>
              <w:numPr>
                <w:ilvl w:val="0"/>
                <w:numId w:val="0"/>
              </w:numPr>
              <w:shd w:val="clear" w:color="auto" w:fill="auto"/>
              <w:tabs>
                <w:tab w:val="left" w:pos="5260"/>
              </w:tabs>
              <w:spacing w:after="0" w:line="360" w:lineRule="auto"/>
              <w:ind w:left="0" w:leftChars="0" w:right="208" w:rightChars="99" w:hanging="10" w:firstLineChars="0"/>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eastAsia="zh-CN"/>
              </w:rPr>
              <w:t>证明材料：提供承诺函，未提供承诺函不得分。</w:t>
            </w:r>
          </w:p>
        </w:tc>
      </w:tr>
      <w:tr w14:paraId="1D53868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Merge w:val="continue"/>
            <w:vAlign w:val="top"/>
          </w:tcPr>
          <w:p w14:paraId="631E36C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520" w:type="dxa"/>
            <w:vAlign w:val="center"/>
          </w:tcPr>
          <w:p w14:paraId="44C76784">
            <w:pPr>
              <w:widowControl/>
              <w:shd w:val="clear" w:color="auto" w:fill="auto"/>
              <w:spacing w:after="0" w:line="360" w:lineRule="auto"/>
              <w:jc w:val="both"/>
              <w:rPr>
                <w:rFonts w:hint="eastAsia" w:ascii="宋体" w:hAnsi="宋体" w:eastAsia="宋体" w:cs="宋体"/>
                <w:b w:val="0"/>
                <w:bCs w:val="0"/>
                <w:color w:val="auto"/>
                <w:sz w:val="21"/>
                <w:szCs w:val="21"/>
                <w:highlight w:val="none"/>
                <w:lang w:val="en-US" w:eastAsia="zh-CN"/>
              </w:rPr>
            </w:pPr>
            <w:r>
              <w:rPr>
                <w:rFonts w:hint="eastAsia" w:ascii="宋体" w:hAnsi="宋体" w:eastAsia="宋体" w:cs="宋体"/>
                <w:b w:val="0"/>
                <w:bCs w:val="0"/>
                <w:color w:val="auto"/>
                <w:spacing w:val="6"/>
                <w:sz w:val="21"/>
                <w:szCs w:val="21"/>
                <w:highlight w:val="none"/>
                <w:lang w:val="en-US" w:eastAsia="zh-CN"/>
              </w:rPr>
              <w:t>售后保障</w:t>
            </w:r>
            <w:r>
              <w:rPr>
                <w:rFonts w:hint="eastAsia" w:ascii="宋体" w:hAnsi="宋体" w:eastAsia="宋体" w:cs="宋体"/>
                <w:b w:val="0"/>
                <w:bCs w:val="0"/>
                <w:color w:val="auto"/>
                <w:sz w:val="21"/>
                <w:szCs w:val="21"/>
                <w:highlight w:val="none"/>
                <w:lang w:val="zh-CN" w:eastAsia="zh-CN"/>
              </w:rPr>
              <w:t>（</w:t>
            </w:r>
            <w:r>
              <w:rPr>
                <w:rFonts w:hint="eastAsia" w:ascii="宋体" w:hAnsi="宋体" w:eastAsia="宋体" w:cs="宋体"/>
                <w:b w:val="0"/>
                <w:bCs w:val="0"/>
                <w:color w:val="auto"/>
                <w:sz w:val="21"/>
                <w:szCs w:val="21"/>
                <w:highlight w:val="none"/>
                <w:lang w:val="en-US" w:eastAsia="zh-CN"/>
              </w:rPr>
              <w:t>6.0分</w:t>
            </w:r>
            <w:r>
              <w:rPr>
                <w:rFonts w:hint="eastAsia" w:ascii="宋体" w:hAnsi="宋体" w:eastAsia="宋体" w:cs="宋体"/>
                <w:b w:val="0"/>
                <w:bCs w:val="0"/>
                <w:color w:val="auto"/>
                <w:sz w:val="21"/>
                <w:szCs w:val="21"/>
                <w:highlight w:val="none"/>
                <w:lang w:val="zh-CN" w:eastAsia="zh-CN"/>
              </w:rPr>
              <w:t>）</w:t>
            </w:r>
          </w:p>
        </w:tc>
        <w:tc>
          <w:tcPr>
            <w:tcW w:w="5544" w:type="dxa"/>
            <w:vAlign w:val="center"/>
          </w:tcPr>
          <w:p w14:paraId="3FFE85C2">
            <w:pPr>
              <w:pStyle w:val="34"/>
              <w:keepNext w:val="0"/>
              <w:keepLines w:val="0"/>
              <w:widowControl/>
              <w:suppressLineNumbers w:val="0"/>
              <w:spacing w:before="0" w:beforeAutospacing="0" w:after="0" w:afterAutospacing="0"/>
              <w:ind w:left="0" w:right="0"/>
              <w:jc w:val="both"/>
              <w:rPr>
                <w:rFonts w:hint="eastAsia" w:ascii="宋体" w:hAnsi="宋体" w:eastAsia="宋体" w:cs="宋体"/>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1、</w:t>
            </w:r>
            <w:r>
              <w:rPr>
                <w:rFonts w:hint="eastAsia" w:ascii="宋体" w:hAnsi="宋体" w:eastAsia="宋体" w:cs="宋体"/>
                <w:b w:val="0"/>
                <w:bCs w:val="0"/>
                <w:i w:val="0"/>
                <w:iCs w:val="0"/>
                <w:color w:val="auto"/>
                <w:spacing w:val="0"/>
                <w:w w:val="100"/>
                <w:sz w:val="21"/>
                <w:szCs w:val="21"/>
                <w:highlight w:val="none"/>
                <w:vertAlign w:val="baseline"/>
              </w:rPr>
              <w:t>针对投标人售后服务方案进行综合评价（包括但不限于：售后保障措施、响应及解决时间、</w:t>
            </w:r>
            <w:r>
              <w:rPr>
                <w:rFonts w:hint="eastAsia" w:ascii="宋体" w:hAnsi="宋体" w:eastAsia="宋体" w:cs="宋体"/>
                <w:b w:val="0"/>
                <w:bCs w:val="0"/>
                <w:i w:val="0"/>
                <w:iCs w:val="0"/>
                <w:color w:val="auto"/>
                <w:spacing w:val="0"/>
                <w:w w:val="100"/>
                <w:sz w:val="21"/>
                <w:szCs w:val="21"/>
                <w:highlight w:val="none"/>
                <w:vertAlign w:val="baseline"/>
                <w:lang w:val="en-US" w:eastAsia="zh-CN"/>
              </w:rPr>
              <w:t>系统使用</w:t>
            </w:r>
            <w:r>
              <w:rPr>
                <w:rFonts w:hint="eastAsia" w:ascii="宋体" w:hAnsi="宋体" w:eastAsia="宋体" w:cs="宋体"/>
                <w:b w:val="0"/>
                <w:bCs w:val="0"/>
                <w:i w:val="0"/>
                <w:iCs w:val="0"/>
                <w:color w:val="auto"/>
                <w:spacing w:val="0"/>
                <w:w w:val="100"/>
                <w:sz w:val="21"/>
                <w:szCs w:val="21"/>
                <w:highlight w:val="none"/>
                <w:vertAlign w:val="baseline"/>
              </w:rPr>
              <w:t>售后人员安排及）进行评价：</w:t>
            </w:r>
          </w:p>
          <w:p w14:paraId="51152671">
            <w:pPr>
              <w:pStyle w:val="34"/>
              <w:keepNext w:val="0"/>
              <w:keepLines w:val="0"/>
              <w:widowControl/>
              <w:suppressLineNumbers w:val="0"/>
              <w:spacing w:before="0" w:beforeAutospacing="0" w:after="0" w:afterAutospacing="0"/>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方案完整覆盖上述全部评审要点，各项工作均列明对应具体工作举措，结合本项目实际场景进行阐述的，得 4 分；</w:t>
            </w:r>
          </w:p>
          <w:p w14:paraId="3B9B8C69">
            <w:pPr>
              <w:pStyle w:val="34"/>
              <w:keepNext w:val="0"/>
              <w:keepLines w:val="0"/>
              <w:widowControl/>
              <w:suppressLineNumbers w:val="0"/>
              <w:spacing w:before="0" w:beforeAutospacing="0" w:after="0" w:afterAutospacing="0"/>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方案完整覆盖上述全部评审要点，列明对应工作举措，但未结合本项目实际场景展开阐述的，得 2 分； </w:t>
            </w:r>
          </w:p>
          <w:p w14:paraId="182E7F0B">
            <w:pPr>
              <w:pStyle w:val="34"/>
              <w:keepNext w:val="0"/>
              <w:keepLines w:val="0"/>
              <w:widowControl/>
              <w:suppressLineNumbers w:val="0"/>
              <w:spacing w:before="0" w:beforeAutospacing="0" w:after="0" w:afterAutospacing="0"/>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 xml:space="preserve">方案存在部分评审要点缺项，但无关键评审要点缺失，相关举措表述简略的，得 1 分； </w:t>
            </w:r>
          </w:p>
          <w:p w14:paraId="64C5EF9B">
            <w:pPr>
              <w:pStyle w:val="34"/>
              <w:keepNext w:val="0"/>
              <w:keepLines w:val="0"/>
              <w:widowControl/>
              <w:suppressLineNumbers w:val="0"/>
              <w:spacing w:before="0" w:beforeAutospacing="0" w:after="0" w:afterAutospacing="0"/>
              <w:ind w:left="0" w:right="0"/>
              <w:jc w:val="both"/>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 xml:space="preserve">方案存在关键评审要点缺失，核心工作举措未予以说明的，得 0 分； </w:t>
            </w:r>
          </w:p>
          <w:p w14:paraId="5870AF88">
            <w:pPr>
              <w:widowControl/>
              <w:numPr>
                <w:ilvl w:val="0"/>
                <w:numId w:val="0"/>
              </w:numPr>
              <w:jc w:val="both"/>
              <w:outlineLvl w:val="1"/>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color w:val="auto"/>
                <w:sz w:val="21"/>
                <w:szCs w:val="21"/>
                <w:highlight w:val="none"/>
                <w:lang w:val="en-US" w:eastAsia="zh-CN"/>
              </w:rPr>
              <w:t>(5)</w:t>
            </w:r>
            <w:r>
              <w:rPr>
                <w:rFonts w:hint="eastAsia" w:ascii="宋体" w:hAnsi="宋体" w:eastAsia="宋体" w:cs="宋体"/>
                <w:color w:val="auto"/>
                <w:sz w:val="21"/>
                <w:szCs w:val="21"/>
                <w:highlight w:val="none"/>
              </w:rPr>
              <w:t>未提供本方案，或者方案内容与本项目无关的，本项不予计分。</w:t>
            </w:r>
          </w:p>
          <w:p w14:paraId="668212BD">
            <w:pPr>
              <w:numPr>
                <w:ilvl w:val="0"/>
                <w:numId w:val="0"/>
              </w:numPr>
              <w:shd w:val="clear" w:color="auto" w:fill="auto"/>
              <w:tabs>
                <w:tab w:val="left" w:pos="5260"/>
              </w:tabs>
              <w:spacing w:after="0" w:line="360" w:lineRule="auto"/>
              <w:ind w:right="208" w:rightChars="99"/>
              <w:jc w:val="both"/>
              <w:rPr>
                <w:rFonts w:hint="eastAsia" w:ascii="宋体" w:hAnsi="宋体" w:eastAsia="宋体" w:cs="宋体"/>
                <w:b w:val="0"/>
                <w:bCs w:val="0"/>
                <w:color w:val="auto"/>
                <w:sz w:val="21"/>
                <w:szCs w:val="21"/>
                <w:highlight w:val="no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2、</w:t>
            </w:r>
            <w:r>
              <w:rPr>
                <w:rFonts w:hint="eastAsia" w:ascii="宋体" w:hAnsi="宋体" w:eastAsia="宋体" w:cs="宋体"/>
                <w:b w:val="0"/>
                <w:bCs w:val="0"/>
                <w:i w:val="0"/>
                <w:iCs w:val="0"/>
                <w:color w:val="auto"/>
                <w:spacing w:val="0"/>
                <w:w w:val="100"/>
                <w:sz w:val="21"/>
                <w:szCs w:val="21"/>
                <w:highlight w:val="none"/>
                <w:vertAlign w:val="baseline"/>
              </w:rPr>
              <w:t>为托育机构教师配备对应的自主学习平台</w:t>
            </w:r>
            <w:r>
              <w:rPr>
                <w:rFonts w:hint="eastAsia" w:ascii="宋体" w:hAnsi="宋体" w:eastAsia="宋体" w:cs="宋体"/>
                <w:b w:val="0"/>
                <w:bCs w:val="0"/>
                <w:i w:val="0"/>
                <w:iCs w:val="0"/>
                <w:color w:val="auto"/>
                <w:spacing w:val="0"/>
                <w:w w:val="100"/>
                <w:sz w:val="21"/>
                <w:szCs w:val="21"/>
                <w:highlight w:val="none"/>
                <w:vertAlign w:val="baseline"/>
                <w:lang w:eastAsia="zh-CN"/>
              </w:rPr>
              <w:t>。</w:t>
            </w:r>
            <w:r>
              <w:rPr>
                <w:rFonts w:hint="eastAsia" w:ascii="宋体" w:hAnsi="宋体" w:eastAsia="宋体" w:cs="宋体"/>
                <w:b w:val="0"/>
                <w:bCs w:val="0"/>
                <w:i w:val="0"/>
                <w:iCs w:val="0"/>
                <w:color w:val="auto"/>
                <w:spacing w:val="0"/>
                <w:w w:val="100"/>
                <w:sz w:val="21"/>
                <w:szCs w:val="21"/>
                <w:highlight w:val="none"/>
                <w:vertAlign w:val="baseline"/>
                <w:lang w:val="en-US" w:eastAsia="zh-CN"/>
              </w:rPr>
              <w:t>得分2分</w:t>
            </w:r>
          </w:p>
        </w:tc>
      </w:tr>
      <w:tr w14:paraId="330AB7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214" w:hRule="atLeast"/>
          <w:jc w:val="center"/>
        </w:trPr>
        <w:tc>
          <w:tcPr>
            <w:tcW w:w="1007" w:type="dxa"/>
            <w:vMerge w:val="continue"/>
            <w:vAlign w:val="top"/>
          </w:tcPr>
          <w:p w14:paraId="72C9972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520" w:type="dxa"/>
            <w:vAlign w:val="center"/>
          </w:tcPr>
          <w:p w14:paraId="0959DD5B">
            <w:pPr>
              <w:shd w:val="clear" w:color="auto" w:fill="auto"/>
              <w:spacing w:after="0" w:line="360" w:lineRule="auto"/>
              <w:jc w:val="both"/>
              <w:rPr>
                <w:rFonts w:hint="eastAsia" w:ascii="宋体" w:hAnsi="宋体" w:eastAsia="宋体" w:cs="宋体"/>
                <w:b w:val="0"/>
                <w:bCs w:val="0"/>
                <w:color w:val="auto"/>
                <w:sz w:val="21"/>
                <w:szCs w:val="21"/>
                <w:highlight w:val="none"/>
                <w:lang w:val="zh-CN" w:eastAsia="zh-CN"/>
              </w:rPr>
            </w:pPr>
            <w:r>
              <w:rPr>
                <w:rFonts w:hint="eastAsia" w:ascii="宋体" w:hAnsi="宋体" w:eastAsia="宋体" w:cs="宋体"/>
                <w:b w:val="0"/>
                <w:bCs w:val="0"/>
                <w:color w:val="auto"/>
                <w:spacing w:val="6"/>
                <w:sz w:val="21"/>
                <w:szCs w:val="21"/>
                <w:highlight w:val="none"/>
                <w:lang w:val="en-US" w:eastAsia="zh-CN"/>
              </w:rPr>
              <w:t>培训服务</w:t>
            </w:r>
            <w:r>
              <w:rPr>
                <w:rFonts w:hint="eastAsia" w:ascii="宋体" w:hAnsi="宋体" w:eastAsia="宋体" w:cs="宋体"/>
                <w:b w:val="0"/>
                <w:bCs w:val="0"/>
                <w:color w:val="auto"/>
                <w:sz w:val="21"/>
                <w:szCs w:val="21"/>
                <w:highlight w:val="none"/>
                <w:lang w:val="zh-CN" w:eastAsia="zh-CN"/>
              </w:rPr>
              <w:t>（</w:t>
            </w:r>
            <w:r>
              <w:rPr>
                <w:rFonts w:hint="eastAsia" w:ascii="宋体" w:hAnsi="宋体" w:eastAsia="宋体" w:cs="宋体"/>
                <w:b w:val="0"/>
                <w:bCs w:val="0"/>
                <w:color w:val="auto"/>
                <w:sz w:val="21"/>
                <w:szCs w:val="21"/>
                <w:highlight w:val="none"/>
                <w:lang w:val="en-US" w:eastAsia="zh-CN"/>
              </w:rPr>
              <w:t>8.0分</w:t>
            </w:r>
            <w:r>
              <w:rPr>
                <w:rFonts w:hint="eastAsia" w:ascii="宋体" w:hAnsi="宋体" w:eastAsia="宋体" w:cs="宋体"/>
                <w:b w:val="0"/>
                <w:bCs w:val="0"/>
                <w:color w:val="auto"/>
                <w:sz w:val="21"/>
                <w:szCs w:val="21"/>
                <w:highlight w:val="none"/>
                <w:lang w:val="zh-CN" w:eastAsia="zh-CN"/>
              </w:rPr>
              <w:t>）</w:t>
            </w:r>
          </w:p>
        </w:tc>
        <w:tc>
          <w:tcPr>
            <w:tcW w:w="5544" w:type="dxa"/>
            <w:shd w:val="clear" w:color="auto" w:fill="auto"/>
            <w:vAlign w:val="top"/>
          </w:tcPr>
          <w:p w14:paraId="6E5725D0">
            <w:pPr>
              <w:pStyle w:val="34"/>
              <w:keepNext w:val="0"/>
              <w:keepLines w:val="0"/>
              <w:widowControl/>
              <w:suppressLineNumbers w:val="0"/>
              <w:spacing w:before="0" w:beforeAutospacing="0" w:after="0" w:afterAutospacing="0" w:line="360" w:lineRule="auto"/>
              <w:ind w:left="0" w:leftChars="0" w:right="0" w:rightChars="0"/>
              <w:jc w:val="both"/>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 xml:space="preserve">投标人根据采购需求培训相关要求提供的培训服务实施方案（包括但不限于：培训场次、培训对象、培训内容、培训形式）进行评审： </w:t>
            </w:r>
          </w:p>
          <w:p w14:paraId="5B00C72E">
            <w:pPr>
              <w:pStyle w:val="34"/>
              <w:keepNext w:val="0"/>
              <w:keepLines w:val="0"/>
              <w:widowControl/>
              <w:numPr>
                <w:ilvl w:val="-1"/>
                <w:numId w:val="0"/>
              </w:numPr>
              <w:suppressLineNumbers w:val="0"/>
              <w:spacing w:before="0" w:beforeAutospacing="0" w:after="0" w:afterAutospacing="0" w:line="360" w:lineRule="auto"/>
              <w:ind w:left="0" w:leftChars="0" w:right="0" w:rightChars="0"/>
              <w:jc w:val="both"/>
              <w:rPr>
                <w:rFonts w:hint="eastAsia" w:ascii="宋体" w:hAnsi="宋体" w:eastAsia="宋体" w:cs="宋体"/>
                <w:b w:val="0"/>
                <w:bCs w:val="0"/>
                <w:i w:val="0"/>
                <w:iCs w:val="0"/>
                <w:color w:val="auto"/>
                <w:spacing w:val="0"/>
                <w:w w:val="100"/>
                <w:sz w:val="21"/>
                <w:szCs w:val="21"/>
                <w:highlight w:val="none"/>
                <w:vertAlign w:val="baseline"/>
                <w:lang w:val="en-US" w:eastAsia="zh-CN"/>
              </w:rPr>
            </w:pPr>
            <w:r>
              <w:rPr>
                <w:rFonts w:hint="eastAsia" w:ascii="宋体" w:hAnsi="宋体" w:eastAsia="宋体" w:cs="宋体"/>
                <w:b w:val="0"/>
                <w:bCs w:val="0"/>
                <w:i w:val="0"/>
                <w:iCs w:val="0"/>
                <w:color w:val="auto"/>
                <w:spacing w:val="0"/>
                <w:w w:val="100"/>
                <w:sz w:val="21"/>
                <w:szCs w:val="21"/>
                <w:highlight w:val="none"/>
                <w:vertAlign w:val="baseline"/>
                <w:lang w:val="en-US" w:eastAsia="zh-CN"/>
              </w:rPr>
              <w:t xml:space="preserve">1、方案完整覆盖上述全部评审要点，承诺培训场次≥5 场，各项培训工作列明具体实施举措，结合本项目实际场景阐述的，得 8 分； </w:t>
            </w:r>
          </w:p>
          <w:p w14:paraId="270DB6F7">
            <w:pPr>
              <w:pStyle w:val="34"/>
              <w:keepNext w:val="0"/>
              <w:keepLines w:val="0"/>
              <w:widowControl/>
              <w:numPr>
                <w:ilvl w:val="-1"/>
                <w:numId w:val="0"/>
              </w:numPr>
              <w:suppressLineNumbers w:val="0"/>
              <w:spacing w:before="0" w:beforeAutospacing="0" w:after="0" w:afterAutospacing="0" w:line="360" w:lineRule="auto"/>
              <w:ind w:left="0" w:leftChars="0" w:right="0" w:rightChars="0"/>
              <w:jc w:val="both"/>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2、方案完整覆盖上述全部评审要点，承诺培训场次为3</w:t>
            </w:r>
            <w:r>
              <w:rPr>
                <w:rFonts w:hint="eastAsia" w:ascii="宋体" w:hAnsi="宋体" w:eastAsia="宋体" w:cs="宋体"/>
                <w:b w:val="0"/>
                <w:bCs w:val="0"/>
                <w:i w:val="0"/>
                <w:iCs w:val="0"/>
                <w:color w:val="auto"/>
                <w:spacing w:val="0"/>
                <w:w w:val="100"/>
                <w:sz w:val="21"/>
                <w:szCs w:val="21"/>
                <w:highlight w:val="none"/>
                <w:vertAlign w:val="baseline"/>
                <w:lang w:val="en-US" w:eastAsia="zh-CN"/>
              </w:rPr>
              <w:noBreakHyphen/>
            </w:r>
            <w:r>
              <w:rPr>
                <w:rFonts w:hint="eastAsia" w:ascii="宋体" w:hAnsi="宋体" w:eastAsia="宋体" w:cs="宋体"/>
                <w:b w:val="0"/>
                <w:bCs w:val="0"/>
                <w:i w:val="0"/>
                <w:iCs w:val="0"/>
                <w:color w:val="auto"/>
                <w:spacing w:val="0"/>
                <w:w w:val="100"/>
                <w:sz w:val="21"/>
                <w:szCs w:val="21"/>
                <w:highlight w:val="none"/>
                <w:vertAlign w:val="baseline"/>
                <w:lang w:val="en-US" w:eastAsia="zh-CN"/>
              </w:rPr>
              <w:t xml:space="preserve">4 场，列明对应培训实施举措，但未结合本项目实际场景展开阐述的，得6分； </w:t>
            </w:r>
          </w:p>
          <w:p w14:paraId="72B0AC1F">
            <w:pPr>
              <w:pStyle w:val="34"/>
              <w:keepNext w:val="0"/>
              <w:keepLines w:val="0"/>
              <w:widowControl/>
              <w:numPr>
                <w:ilvl w:val="-1"/>
                <w:numId w:val="0"/>
              </w:numPr>
              <w:suppressLineNumbers w:val="0"/>
              <w:spacing w:before="0" w:beforeAutospacing="0" w:after="0" w:afterAutospacing="0" w:line="360" w:lineRule="auto"/>
              <w:ind w:left="0" w:leftChars="0" w:right="0" w:rightChars="0"/>
              <w:jc w:val="both"/>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 xml:space="preserve">3、方案完整覆盖上述全部评审要点，承诺培训场次为2场，相关培训举措表述简略的，得4分； </w:t>
            </w:r>
          </w:p>
          <w:p w14:paraId="35D9B0DB">
            <w:pPr>
              <w:pStyle w:val="34"/>
              <w:keepNext w:val="0"/>
              <w:keepLines w:val="0"/>
              <w:widowControl/>
              <w:numPr>
                <w:ilvl w:val="-1"/>
                <w:numId w:val="0"/>
              </w:numPr>
              <w:suppressLineNumbers w:val="0"/>
              <w:spacing w:before="0" w:beforeAutospacing="0" w:after="0" w:afterAutospacing="0" w:line="360" w:lineRule="auto"/>
              <w:ind w:left="0" w:leftChars="0" w:right="0" w:rightChars="0"/>
              <w:jc w:val="both"/>
              <w:rPr>
                <w:rFonts w:hint="eastAsia" w:ascii="宋体" w:hAnsi="宋体" w:eastAsia="宋体" w:cs="宋体"/>
                <w:b w:val="0"/>
                <w:bCs w:val="0"/>
                <w:i w:val="0"/>
                <w:iCs w:val="0"/>
                <w:color w:val="auto"/>
                <w:spacing w:val="0"/>
                <w:w w:val="100"/>
                <w:sz w:val="21"/>
                <w:szCs w:val="21"/>
                <w:highlight w:val="none"/>
                <w:vertAlign w:val="baseline"/>
              </w:rPr>
            </w:pPr>
            <w:r>
              <w:rPr>
                <w:rFonts w:hint="eastAsia" w:ascii="宋体" w:hAnsi="宋体" w:eastAsia="宋体" w:cs="宋体"/>
                <w:b w:val="0"/>
                <w:bCs w:val="0"/>
                <w:i w:val="0"/>
                <w:iCs w:val="0"/>
                <w:color w:val="auto"/>
                <w:spacing w:val="0"/>
                <w:w w:val="100"/>
                <w:sz w:val="21"/>
                <w:szCs w:val="21"/>
                <w:highlight w:val="none"/>
                <w:vertAlign w:val="baseline"/>
                <w:lang w:val="en-US" w:eastAsia="zh-CN"/>
              </w:rPr>
              <w:t xml:space="preserve">4、方案满足最低培训场次1场要求，基础培训相关内容有说明，但部分评审要点存在缺项的，得2 分； </w:t>
            </w:r>
          </w:p>
          <w:p w14:paraId="55BF6216">
            <w:pPr>
              <w:spacing w:line="360" w:lineRule="auto"/>
              <w:rPr>
                <w:rFonts w:hint="eastAsia" w:ascii="宋体" w:hAnsi="宋体" w:eastAsia="宋体" w:cs="宋体"/>
                <w:b w:val="0"/>
                <w:bCs w:val="0"/>
                <w:i w:val="0"/>
                <w:iCs w:val="0"/>
                <w:color w:val="auto"/>
                <w:spacing w:val="0"/>
                <w:w w:val="100"/>
                <w:kern w:val="0"/>
                <w:sz w:val="21"/>
                <w:szCs w:val="21"/>
                <w:highlight w:val="none"/>
                <w:vertAlign w:val="baseline"/>
                <w:lang w:val="en-US" w:eastAsia="zh-CN" w:bidi="ar-SA"/>
              </w:rPr>
            </w:pPr>
            <w:r>
              <w:rPr>
                <w:rFonts w:hint="eastAsia" w:ascii="宋体" w:hAnsi="宋体" w:eastAsia="宋体" w:cs="宋体"/>
                <w:b w:val="0"/>
                <w:bCs w:val="0"/>
                <w:i w:val="0"/>
                <w:iCs w:val="0"/>
                <w:color w:val="auto"/>
                <w:spacing w:val="0"/>
                <w:w w:val="100"/>
                <w:sz w:val="21"/>
                <w:szCs w:val="21"/>
                <w:highlight w:val="none"/>
                <w:vertAlign w:val="baseline"/>
                <w:lang w:val="en-US" w:eastAsia="zh-CN"/>
              </w:rPr>
              <w:t>5、承诺培训场次不足1场，或未提供培训方案，或方案内容与本项目无关的，本项不予计分。</w:t>
            </w:r>
          </w:p>
        </w:tc>
      </w:tr>
      <w:tr w14:paraId="5C6142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07" w:type="dxa"/>
            <w:vAlign w:val="center"/>
          </w:tcPr>
          <w:p w14:paraId="034A131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w:t>
            </w:r>
          </w:p>
          <w:p w14:paraId="153CE69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报价</w:t>
            </w:r>
          </w:p>
        </w:tc>
        <w:tc>
          <w:tcPr>
            <w:tcW w:w="2520" w:type="dxa"/>
            <w:vAlign w:val="center"/>
          </w:tcPr>
          <w:p w14:paraId="10033ED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投标报价得分 (</w:t>
            </w:r>
            <w:r>
              <w:rPr>
                <w:rFonts w:hint="eastAsia" w:ascii="宋体" w:hAnsi="宋体" w:eastAsia="宋体" w:cs="宋体"/>
                <w:color w:val="auto"/>
                <w:sz w:val="21"/>
                <w:szCs w:val="21"/>
                <w:highlight w:val="none"/>
                <w:lang w:val="en-US" w:eastAsia="zh-CN"/>
              </w:rPr>
              <w:t>1</w:t>
            </w:r>
            <w:r>
              <w:rPr>
                <w:rFonts w:hint="eastAsia" w:ascii="宋体" w:hAnsi="宋体" w:eastAsia="宋体" w:cs="宋体"/>
                <w:color w:val="auto"/>
                <w:sz w:val="21"/>
                <w:szCs w:val="21"/>
                <w:highlight w:val="none"/>
              </w:rPr>
              <w:t>0.0分)</w:t>
            </w:r>
          </w:p>
        </w:tc>
        <w:tc>
          <w:tcPr>
            <w:tcW w:w="5544" w:type="dxa"/>
            <w:vAlign w:val="center"/>
          </w:tcPr>
          <w:p w14:paraId="441E4D48">
            <w:pPr>
              <w:pStyle w:val="174"/>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color w:val="auto"/>
                <w:sz w:val="21"/>
                <w:szCs w:val="21"/>
                <w:highlight w:val="none"/>
              </w:rPr>
              <w:t>投标报价得分＝（评标基准价/投标报价）×价格分值【注：满足招标文件要求且投标价格最低的投标报价为评标基准价。】最低报价不是中标的唯一依据。因落实政府采购政策进行价格调整的，以调整后的价格计算评标基准价和投标报价。</w:t>
            </w:r>
          </w:p>
        </w:tc>
      </w:tr>
    </w:tbl>
    <w:p w14:paraId="1EC8298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b/>
          <w:color w:val="auto"/>
          <w:sz w:val="21"/>
          <w:szCs w:val="21"/>
          <w:highlight w:val="none"/>
        </w:rPr>
      </w:pPr>
    </w:p>
    <w:p w14:paraId="1BF5400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4.汇总、排序</w:t>
      </w:r>
    </w:p>
    <w:p w14:paraId="7ABD188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采购包1：</w:t>
      </w:r>
    </w:p>
    <w:p w14:paraId="4C3750AE">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评标结果按评审后总得分由高到低顺序排列。总得分相同的按投标报价由低到高顺序排列。得分且投标报价相同的，由评委会采取随机抽取的方式确定。排名第一的投标供应商为第一中标候选人，排名第二的投标供应商为第二中标候选人</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排名第</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的投标供应商为第</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中标候选人。</w:t>
      </w:r>
    </w:p>
    <w:p w14:paraId="51F66E0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5.中标价的确定</w:t>
      </w:r>
    </w:p>
    <w:p w14:paraId="5F2844F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除了按第四章第一点第7条修正并经投标人确认的投标报价作为中标价外，中标价以开标时公开唱标价为准。</w:t>
      </w:r>
    </w:p>
    <w:p w14:paraId="5B56DCA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6.其他无效投标的情形：</w:t>
      </w:r>
    </w:p>
    <w:p w14:paraId="4D3CC12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(1)评标期间，投标人没有按评标委员会的要求提交法定代表人或其委托代理人签字的澄清、说明、补正或改变了投标文件的实质性内容的。</w:t>
      </w:r>
    </w:p>
    <w:p w14:paraId="4670F02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(2)投标文件提供虚假材料的。</w:t>
      </w:r>
    </w:p>
    <w:p w14:paraId="4DDA656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(3)投标人以他人名义投标、串通投标、以行贿手段谋取中标或者以其他弄虚作假方式投标的。</w:t>
      </w:r>
    </w:p>
    <w:p w14:paraId="6655DCC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(4)投标人对采购人、采购代理机构、评标委员会及其工作人员施加影响，有碍招标公平、公正的。</w:t>
      </w:r>
    </w:p>
    <w:p w14:paraId="1DC00B4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(5)投标文件含有采购人不能接受的附加条件的。</w:t>
      </w:r>
    </w:p>
    <w:p w14:paraId="3EFB9CB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(6)法律、法规和招标文件规定的其他无效情形。</w:t>
      </w:r>
    </w:p>
    <w:p w14:paraId="47B0277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A79AE82">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b/>
          <w:color w:val="auto"/>
          <w:sz w:val="21"/>
          <w:szCs w:val="21"/>
          <w:highlight w:val="none"/>
        </w:rPr>
      </w:pPr>
    </w:p>
    <w:p w14:paraId="56585744">
      <w:pPr>
        <w:shd w:val="clear"/>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br w:type="page"/>
      </w:r>
    </w:p>
    <w:p w14:paraId="4390FAE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第五章 合同</w:t>
      </w:r>
      <w:r>
        <w:rPr>
          <w:rFonts w:hint="eastAsia" w:ascii="宋体" w:hAnsi="宋体" w:eastAsia="宋体" w:cs="宋体"/>
          <w:b/>
          <w:color w:val="auto"/>
          <w:sz w:val="28"/>
          <w:szCs w:val="28"/>
          <w:highlight w:val="none"/>
          <w:lang w:val="en-US" w:eastAsia="zh-CN"/>
        </w:rPr>
        <w:t>范</w:t>
      </w:r>
      <w:r>
        <w:rPr>
          <w:rFonts w:hint="eastAsia" w:ascii="宋体" w:hAnsi="宋体" w:eastAsia="宋体" w:cs="宋体"/>
          <w:b/>
          <w:color w:val="auto"/>
          <w:sz w:val="28"/>
          <w:szCs w:val="28"/>
          <w:highlight w:val="none"/>
        </w:rPr>
        <w:t>本</w:t>
      </w:r>
    </w:p>
    <w:p w14:paraId="394825B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 </w:t>
      </w:r>
    </w:p>
    <w:p w14:paraId="18403ACD">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 xml:space="preserve"> </w:t>
      </w:r>
    </w:p>
    <w:p w14:paraId="135761C2">
      <w:pPr>
        <w:tabs>
          <w:tab w:val="left" w:pos="720"/>
        </w:tabs>
        <w:spacing w:line="360" w:lineRule="auto"/>
        <w:jc w:val="center"/>
        <w:rPr>
          <w:rFonts w:hint="eastAsia" w:ascii="宋体" w:hAnsi="宋体" w:cs="宋体"/>
          <w:b/>
          <w:color w:val="auto"/>
          <w:sz w:val="72"/>
          <w:szCs w:val="72"/>
          <w:lang w:eastAsia="zh-CN"/>
        </w:rPr>
      </w:pPr>
      <w:r>
        <w:rPr>
          <w:rFonts w:hint="eastAsia" w:cs="宋体"/>
          <w:b/>
          <w:color w:val="auto"/>
          <w:sz w:val="72"/>
          <w:szCs w:val="72"/>
          <w:lang w:val="en-US" w:eastAsia="zh-CN"/>
        </w:rPr>
        <w:t>阳江市托育综合服务中心智慧托育管理平台软件与硬件项目</w:t>
      </w:r>
    </w:p>
    <w:p w14:paraId="60362197">
      <w:pPr>
        <w:tabs>
          <w:tab w:val="left" w:pos="720"/>
        </w:tabs>
        <w:spacing w:line="360" w:lineRule="auto"/>
        <w:jc w:val="center"/>
        <w:rPr>
          <w:rFonts w:ascii="宋体" w:hAnsi="宋体" w:cs="宋体"/>
          <w:b/>
          <w:color w:val="auto"/>
          <w:sz w:val="72"/>
          <w:szCs w:val="72"/>
          <w:lang w:eastAsia="zh-CN"/>
        </w:rPr>
      </w:pPr>
      <w:r>
        <w:rPr>
          <w:rFonts w:hint="eastAsia" w:ascii="宋体" w:hAnsi="宋体" w:cs="宋体"/>
          <w:b/>
          <w:color w:val="auto"/>
          <w:sz w:val="72"/>
          <w:szCs w:val="72"/>
          <w:lang w:eastAsia="zh-CN"/>
        </w:rPr>
        <w:t>采购项目</w:t>
      </w:r>
    </w:p>
    <w:p w14:paraId="3D677AB2">
      <w:pPr>
        <w:tabs>
          <w:tab w:val="left" w:pos="720"/>
        </w:tabs>
        <w:spacing w:line="360" w:lineRule="auto"/>
        <w:jc w:val="center"/>
        <w:rPr>
          <w:rFonts w:ascii="宋体" w:hAnsi="宋体" w:cs="宋体"/>
          <w:b/>
          <w:color w:val="auto"/>
          <w:sz w:val="72"/>
          <w:szCs w:val="72"/>
          <w:lang w:eastAsia="zh-CN"/>
        </w:rPr>
      </w:pPr>
      <w:r>
        <w:rPr>
          <w:rFonts w:hint="eastAsia" w:ascii="宋体" w:hAnsi="宋体" w:cs="宋体"/>
          <w:b/>
          <w:color w:val="auto"/>
          <w:sz w:val="72"/>
          <w:szCs w:val="72"/>
          <w:lang w:eastAsia="zh-CN"/>
        </w:rPr>
        <w:t>合 同 书</w:t>
      </w:r>
    </w:p>
    <w:p w14:paraId="62C84A8C">
      <w:pPr>
        <w:tabs>
          <w:tab w:val="left" w:pos="720"/>
        </w:tabs>
        <w:spacing w:line="360" w:lineRule="auto"/>
        <w:jc w:val="center"/>
        <w:rPr>
          <w:rFonts w:ascii="宋体" w:hAnsi="宋体" w:cs="宋体"/>
          <w:b/>
          <w:color w:val="auto"/>
          <w:sz w:val="28"/>
          <w:szCs w:val="28"/>
          <w:lang w:eastAsia="zh-CN"/>
        </w:rPr>
      </w:pPr>
      <w:r>
        <w:rPr>
          <w:rFonts w:hint="eastAsia" w:ascii="宋体" w:hAnsi="宋体" w:cs="宋体"/>
          <w:b/>
          <w:color w:val="auto"/>
          <w:sz w:val="44"/>
          <w:szCs w:val="44"/>
          <w:lang w:eastAsia="zh-CN"/>
        </w:rPr>
        <w:t>（</w:t>
      </w:r>
      <w:r>
        <w:rPr>
          <w:rFonts w:hint="eastAsia" w:ascii="宋体" w:hAnsi="宋体" w:cs="宋体"/>
          <w:b/>
          <w:color w:val="auto"/>
          <w:sz w:val="44"/>
          <w:szCs w:val="44"/>
          <w:lang w:val="en-US" w:eastAsia="zh-CN"/>
        </w:rPr>
        <w:t xml:space="preserve">     </w:t>
      </w:r>
      <w:r>
        <w:rPr>
          <w:rFonts w:hint="eastAsia" w:ascii="宋体" w:hAnsi="宋体" w:cs="宋体"/>
          <w:b/>
          <w:color w:val="auto"/>
          <w:sz w:val="44"/>
          <w:szCs w:val="44"/>
          <w:lang w:eastAsia="zh-CN"/>
        </w:rPr>
        <w:t>类）</w:t>
      </w:r>
    </w:p>
    <w:p w14:paraId="2811A297">
      <w:pPr>
        <w:tabs>
          <w:tab w:val="left" w:pos="720"/>
        </w:tabs>
        <w:spacing w:line="360" w:lineRule="auto"/>
        <w:rPr>
          <w:rFonts w:ascii="宋体" w:hAnsi="宋体" w:cs="宋体"/>
          <w:b/>
          <w:color w:val="auto"/>
          <w:sz w:val="28"/>
          <w:szCs w:val="28"/>
          <w:lang w:eastAsia="zh-CN"/>
        </w:rPr>
      </w:pPr>
    </w:p>
    <w:p w14:paraId="5C679DFA">
      <w:pPr>
        <w:tabs>
          <w:tab w:val="left" w:pos="720"/>
        </w:tabs>
        <w:spacing w:line="360" w:lineRule="auto"/>
        <w:rPr>
          <w:rFonts w:ascii="宋体" w:hAnsi="宋体" w:cs="宋体"/>
          <w:b/>
          <w:color w:val="auto"/>
          <w:sz w:val="28"/>
          <w:szCs w:val="28"/>
          <w:lang w:eastAsia="zh-CN"/>
        </w:rPr>
      </w:pPr>
      <w:r>
        <w:rPr>
          <w:rFonts w:hint="eastAsia" w:ascii="宋体" w:hAnsi="宋体" w:cs="宋体"/>
          <w:b/>
          <w:color w:val="auto"/>
          <w:sz w:val="32"/>
          <w:szCs w:val="32"/>
          <w:lang w:eastAsia="zh-CN"/>
        </w:rPr>
        <w:t xml:space="preserve">  项目编号： </w:t>
      </w:r>
    </w:p>
    <w:p w14:paraId="5BC8760E">
      <w:pPr>
        <w:tabs>
          <w:tab w:val="left" w:pos="720"/>
        </w:tabs>
        <w:spacing w:line="360" w:lineRule="auto"/>
        <w:rPr>
          <w:rFonts w:ascii="宋体" w:hAnsi="宋体" w:cs="宋体"/>
          <w:b/>
          <w:color w:val="auto"/>
          <w:sz w:val="32"/>
          <w:szCs w:val="32"/>
          <w:lang w:eastAsia="zh-CN"/>
        </w:rPr>
      </w:pPr>
      <w:r>
        <w:rPr>
          <w:rFonts w:hint="eastAsia" w:ascii="宋体" w:hAnsi="宋体" w:cs="宋体"/>
          <w:b/>
          <w:color w:val="auto"/>
          <w:sz w:val="32"/>
          <w:szCs w:val="32"/>
          <w:lang w:eastAsia="zh-CN"/>
        </w:rPr>
        <w:t xml:space="preserve">     </w:t>
      </w:r>
    </w:p>
    <w:p w14:paraId="73638AF8">
      <w:pPr>
        <w:tabs>
          <w:tab w:val="left" w:pos="720"/>
        </w:tabs>
        <w:spacing w:line="360" w:lineRule="auto"/>
        <w:ind w:firstLine="321" w:firstLineChars="100"/>
        <w:rPr>
          <w:rFonts w:hint="default" w:ascii="宋体" w:hAnsi="宋体" w:cs="宋体"/>
          <w:b/>
          <w:color w:val="auto"/>
          <w:sz w:val="28"/>
          <w:szCs w:val="28"/>
          <w:u w:val="single"/>
          <w:lang w:val="en-US" w:eastAsia="zh-CN"/>
        </w:rPr>
      </w:pPr>
      <w:r>
        <w:rPr>
          <w:rFonts w:hint="eastAsia" w:ascii="宋体" w:hAnsi="宋体" w:cs="宋体"/>
          <w:b/>
          <w:color w:val="auto"/>
          <w:sz w:val="32"/>
          <w:szCs w:val="32"/>
          <w:lang w:eastAsia="zh-CN"/>
        </w:rPr>
        <w:t>项目名称：</w:t>
      </w:r>
      <w:r>
        <w:rPr>
          <w:rFonts w:hint="eastAsia" w:ascii="宋体" w:hAnsi="宋体" w:cs="宋体"/>
          <w:b/>
          <w:color w:val="auto"/>
          <w:sz w:val="32"/>
          <w:szCs w:val="32"/>
          <w:u w:val="single"/>
          <w:lang w:val="en-US" w:eastAsia="zh-CN"/>
        </w:rPr>
        <w:t xml:space="preserve">  </w:t>
      </w:r>
    </w:p>
    <w:p w14:paraId="58C4014E">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z w:val="21"/>
          <w:szCs w:val="21"/>
          <w:highlight w:val="none"/>
        </w:rPr>
      </w:pPr>
    </w:p>
    <w:p w14:paraId="20C32DCB">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z w:val="21"/>
          <w:szCs w:val="21"/>
          <w:highlight w:val="none"/>
        </w:rPr>
      </w:pPr>
    </w:p>
    <w:p w14:paraId="5EFE97C6">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z w:val="21"/>
          <w:szCs w:val="21"/>
          <w:highlight w:val="none"/>
        </w:rPr>
      </w:pPr>
    </w:p>
    <w:p w14:paraId="17DB46F2">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color w:val="auto"/>
          <w:sz w:val="21"/>
          <w:szCs w:val="21"/>
          <w:highlight w:val="none"/>
        </w:rPr>
      </w:pPr>
    </w:p>
    <w:p w14:paraId="720B61CB">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center"/>
        <w:textAlignment w:val="auto"/>
        <w:rPr>
          <w:rFonts w:hint="eastAsia" w:ascii="宋体" w:hAnsi="宋体" w:eastAsia="宋体" w:cs="宋体"/>
          <w:b/>
          <w:color w:val="auto"/>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b/>
          <w:color w:val="auto"/>
          <w:szCs w:val="21"/>
          <w:highlight w:val="none"/>
        </w:rPr>
        <w:t>注：本合同仅为合同草案文本，合同签订双方可根据项目的具体要求进行修订和细化。</w:t>
      </w:r>
    </w:p>
    <w:p w14:paraId="7EA50517">
      <w:pPr>
        <w:adjustRightInd w:val="0"/>
        <w:snapToGrid w:val="0"/>
        <w:spacing w:line="360" w:lineRule="auto"/>
        <w:ind w:firstLine="210" w:firstLineChars="100"/>
        <w:jc w:val="both"/>
        <w:rPr>
          <w:rFonts w:ascii="宋体" w:hAnsi="宋体" w:cs="宋体"/>
          <w:color w:val="auto"/>
          <w:sz w:val="21"/>
          <w:lang w:eastAsia="zh-CN"/>
        </w:rPr>
      </w:pPr>
      <w:r>
        <w:rPr>
          <w:rFonts w:hint="eastAsia" w:ascii="宋体" w:hAnsi="宋体" w:cs="宋体"/>
          <w:color w:val="auto"/>
          <w:sz w:val="21"/>
          <w:lang w:eastAsia="zh-CN"/>
        </w:rPr>
        <w:t>甲   方：</w:t>
      </w:r>
      <w:r>
        <w:rPr>
          <w:rFonts w:hint="eastAsia" w:ascii="宋体" w:hAnsi="宋体" w:cs="宋体"/>
          <w:color w:val="auto"/>
          <w:sz w:val="21"/>
          <w:lang w:val="en-US" w:eastAsia="zh-CN"/>
        </w:rPr>
        <w:t>阳江市妇幼保健院</w:t>
      </w:r>
      <w:r>
        <w:rPr>
          <w:rFonts w:hint="eastAsia" w:ascii="宋体" w:hAnsi="宋体" w:cs="宋体"/>
          <w:color w:val="auto"/>
          <w:sz w:val="21"/>
          <w:lang w:eastAsia="zh-CN"/>
        </w:rPr>
        <w:t xml:space="preserve"> </w:t>
      </w:r>
    </w:p>
    <w:p w14:paraId="56A91829">
      <w:pPr>
        <w:adjustRightInd w:val="0"/>
        <w:snapToGrid w:val="0"/>
        <w:spacing w:line="360" w:lineRule="auto"/>
        <w:ind w:left="525" w:leftChars="100" w:hanging="315" w:hangingChars="150"/>
        <w:jc w:val="both"/>
        <w:rPr>
          <w:rFonts w:hint="default" w:ascii="宋体" w:hAnsi="宋体" w:cs="宋体"/>
          <w:color w:val="auto"/>
          <w:sz w:val="21"/>
          <w:lang w:val="en-US" w:eastAsia="zh-CN"/>
        </w:rPr>
      </w:pPr>
      <w:r>
        <w:rPr>
          <w:rFonts w:hint="eastAsia" w:ascii="宋体" w:hAnsi="宋体" w:cs="宋体"/>
          <w:color w:val="auto"/>
          <w:sz w:val="21"/>
          <w:lang w:eastAsia="zh-CN"/>
        </w:rPr>
        <w:t>联 系 人：</w:t>
      </w:r>
    </w:p>
    <w:p w14:paraId="7974BB6F">
      <w:pPr>
        <w:adjustRightInd w:val="0"/>
        <w:snapToGrid w:val="0"/>
        <w:spacing w:line="360" w:lineRule="auto"/>
        <w:ind w:left="525" w:leftChars="100" w:hanging="315" w:hangingChars="150"/>
        <w:jc w:val="both"/>
        <w:rPr>
          <w:rFonts w:ascii="宋体" w:hAnsi="宋体" w:cs="宋体"/>
          <w:color w:val="auto"/>
          <w:sz w:val="21"/>
          <w:lang w:eastAsia="zh-CN"/>
        </w:rPr>
      </w:pPr>
      <w:r>
        <w:rPr>
          <w:rFonts w:hint="eastAsia" w:ascii="宋体" w:hAnsi="宋体" w:cs="宋体"/>
          <w:color w:val="auto"/>
          <w:sz w:val="21"/>
          <w:lang w:eastAsia="zh-CN"/>
        </w:rPr>
        <w:t xml:space="preserve">电   话：         </w:t>
      </w:r>
    </w:p>
    <w:p w14:paraId="5B2ED863">
      <w:pPr>
        <w:adjustRightInd w:val="0"/>
        <w:snapToGrid w:val="0"/>
        <w:spacing w:line="360" w:lineRule="auto"/>
        <w:ind w:left="525" w:leftChars="100" w:hanging="315" w:hangingChars="150"/>
        <w:jc w:val="both"/>
        <w:rPr>
          <w:rFonts w:hint="default" w:ascii="宋体" w:hAnsi="宋体" w:cs="宋体"/>
          <w:color w:val="auto"/>
          <w:sz w:val="21"/>
          <w:lang w:val="en-US" w:eastAsia="zh-CN"/>
        </w:rPr>
      </w:pPr>
      <w:r>
        <w:rPr>
          <w:rFonts w:hint="eastAsia" w:ascii="宋体" w:hAnsi="宋体" w:cs="宋体"/>
          <w:color w:val="auto"/>
          <w:sz w:val="21"/>
          <w:lang w:eastAsia="zh-CN"/>
        </w:rPr>
        <w:t>地   址：</w:t>
      </w:r>
    </w:p>
    <w:p w14:paraId="2179289E">
      <w:pPr>
        <w:adjustRightInd w:val="0"/>
        <w:snapToGrid w:val="0"/>
        <w:spacing w:line="360" w:lineRule="auto"/>
        <w:ind w:left="525" w:leftChars="100" w:hanging="315" w:hangingChars="150"/>
        <w:jc w:val="both"/>
        <w:rPr>
          <w:rFonts w:hint="default" w:ascii="宋体" w:hAnsi="宋体" w:cs="宋体"/>
          <w:color w:val="auto"/>
          <w:sz w:val="21"/>
          <w:lang w:val="en-US" w:eastAsia="zh-CN"/>
        </w:rPr>
      </w:pPr>
      <w:r>
        <w:rPr>
          <w:rFonts w:hint="eastAsia" w:ascii="宋体" w:hAnsi="宋体" w:cs="宋体"/>
          <w:color w:val="auto"/>
          <w:sz w:val="21"/>
          <w:lang w:eastAsia="zh-CN"/>
        </w:rPr>
        <w:t>乙   方：</w:t>
      </w:r>
    </w:p>
    <w:p w14:paraId="495A02D2">
      <w:pPr>
        <w:adjustRightInd w:val="0"/>
        <w:snapToGrid w:val="0"/>
        <w:spacing w:line="360" w:lineRule="auto"/>
        <w:ind w:left="525" w:leftChars="100" w:hanging="315" w:hangingChars="150"/>
        <w:jc w:val="both"/>
        <w:rPr>
          <w:rFonts w:hint="default"/>
          <w:color w:val="auto"/>
          <w:lang w:val="en-US" w:eastAsia="zh-CN"/>
        </w:rPr>
      </w:pPr>
      <w:r>
        <w:rPr>
          <w:rFonts w:hint="eastAsia" w:ascii="宋体" w:hAnsi="宋体" w:cs="宋体"/>
          <w:color w:val="auto"/>
          <w:sz w:val="21"/>
          <w:lang w:eastAsia="zh-CN"/>
        </w:rPr>
        <w:t>联 系 人：</w:t>
      </w:r>
    </w:p>
    <w:p w14:paraId="1ABFDC6E">
      <w:pPr>
        <w:adjustRightInd w:val="0"/>
        <w:snapToGrid w:val="0"/>
        <w:spacing w:line="360" w:lineRule="auto"/>
        <w:ind w:left="525" w:leftChars="100" w:hanging="315" w:hangingChars="150"/>
        <w:jc w:val="both"/>
        <w:rPr>
          <w:rFonts w:hint="default" w:ascii="宋体" w:hAnsi="宋体" w:cs="宋体"/>
          <w:color w:val="auto"/>
          <w:sz w:val="21"/>
          <w:lang w:val="en-US" w:eastAsia="zh-CN"/>
        </w:rPr>
      </w:pPr>
      <w:r>
        <w:rPr>
          <w:rFonts w:hint="eastAsia" w:ascii="宋体" w:hAnsi="宋体" w:cs="宋体"/>
          <w:color w:val="auto"/>
          <w:sz w:val="21"/>
          <w:lang w:eastAsia="zh-CN"/>
        </w:rPr>
        <w:t xml:space="preserve">电   话： </w:t>
      </w:r>
    </w:p>
    <w:p w14:paraId="53446C1C">
      <w:pPr>
        <w:adjustRightInd w:val="0"/>
        <w:snapToGrid w:val="0"/>
        <w:spacing w:line="360" w:lineRule="auto"/>
        <w:ind w:left="1155" w:leftChars="100" w:hanging="945" w:hangingChars="450"/>
        <w:jc w:val="both"/>
        <w:rPr>
          <w:rFonts w:hint="default" w:ascii="宋体" w:hAnsi="宋体" w:cs="宋体"/>
          <w:color w:val="auto"/>
          <w:sz w:val="21"/>
          <w:lang w:val="en-US" w:eastAsia="zh-CN"/>
        </w:rPr>
      </w:pPr>
      <w:r>
        <w:rPr>
          <w:rFonts w:hint="eastAsia" w:ascii="宋体" w:hAnsi="宋体" w:cs="宋体"/>
          <w:color w:val="auto"/>
          <w:sz w:val="21"/>
          <w:lang w:eastAsia="zh-CN"/>
        </w:rPr>
        <w:t>地   址：</w:t>
      </w:r>
    </w:p>
    <w:p w14:paraId="3EFFC3FD">
      <w:pPr>
        <w:adjustRightInd w:val="0"/>
        <w:snapToGrid w:val="0"/>
        <w:spacing w:line="360" w:lineRule="auto"/>
        <w:ind w:left="525" w:leftChars="100" w:hanging="315" w:hangingChars="150"/>
        <w:jc w:val="both"/>
        <w:rPr>
          <w:rFonts w:ascii="宋体" w:hAnsi="宋体" w:cs="宋体"/>
          <w:color w:val="auto"/>
          <w:sz w:val="21"/>
          <w:lang w:eastAsia="zh-CN"/>
        </w:rPr>
      </w:pPr>
      <w:r>
        <w:rPr>
          <w:rFonts w:hint="eastAsia" w:ascii="宋体" w:hAnsi="宋体" w:cs="宋体"/>
          <w:color w:val="auto"/>
          <w:sz w:val="21"/>
          <w:lang w:eastAsia="zh-CN"/>
        </w:rPr>
        <w:t xml:space="preserve">项目名称：                 </w:t>
      </w:r>
    </w:p>
    <w:p w14:paraId="17F32304">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eastAsia="zh-CN"/>
        </w:rPr>
        <w:t>根据</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lang w:eastAsia="zh-CN"/>
        </w:rPr>
        <w:t>的采购结果（项目编号：</w:t>
      </w:r>
      <w:r>
        <w:rPr>
          <w:rFonts w:hint="eastAsia" w:ascii="宋体" w:hAnsi="宋体" w:eastAsia="宋体" w:cs="宋体"/>
          <w:b w:val="0"/>
          <w:bCs/>
          <w:color w:val="auto"/>
          <w:sz w:val="21"/>
          <w:szCs w:val="21"/>
          <w:highlight w:val="none"/>
          <w:lang w:val="en-US" w:eastAsia="zh-CN"/>
        </w:rPr>
        <w:t xml:space="preserve">      </w:t>
      </w:r>
      <w:r>
        <w:rPr>
          <w:rFonts w:hint="eastAsia" w:ascii="宋体" w:hAnsi="宋体" w:eastAsia="宋体" w:cs="宋体"/>
          <w:b w:val="0"/>
          <w:bCs/>
          <w:color w:val="auto"/>
          <w:sz w:val="21"/>
          <w:szCs w:val="21"/>
          <w:highlight w:val="none"/>
          <w:lang w:eastAsia="zh-CN"/>
        </w:rPr>
        <w:t>），按照《中华人民共和国政府采购法》，《中华人民共和国民法典(合同编)》的规定，经双方协商，本着平等互利和诚实信用的原则，一致同意遵守本合同如下。</w:t>
      </w:r>
      <w:r>
        <w:rPr>
          <w:rFonts w:hint="eastAsia" w:ascii="宋体" w:hAnsi="宋体" w:eastAsia="宋体" w:cs="宋体"/>
          <w:b w:val="0"/>
          <w:bCs/>
          <w:color w:val="auto"/>
          <w:sz w:val="21"/>
          <w:szCs w:val="21"/>
          <w:highlight w:val="none"/>
          <w:lang w:val="en-US" w:eastAsia="zh-CN"/>
        </w:rPr>
        <w:t xml:space="preserve"> </w:t>
      </w:r>
    </w:p>
    <w:p w14:paraId="2324F150">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一、合同金额</w:t>
      </w:r>
    </w:p>
    <w:p w14:paraId="12F1A9F9">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合同金额为（大写）：_____________元（￥_________元）人民币。</w:t>
      </w:r>
    </w:p>
    <w:p w14:paraId="0CA72AD2">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eastAsia="zh-CN"/>
        </w:rPr>
        <w:t>合同金额包括但不限于运至合同指定地点的设备费、运输费、卸装费、保险费、安装调试费、培训费和验收等一切费用，采购人不再支付其他任何费用。</w:t>
      </w:r>
    </w:p>
    <w:p w14:paraId="6F8E2368">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二、</w:t>
      </w:r>
      <w:r>
        <w:rPr>
          <w:rFonts w:hint="eastAsia" w:ascii="宋体" w:hAnsi="宋体" w:eastAsia="宋体" w:cs="宋体"/>
          <w:b/>
          <w:color w:val="auto"/>
          <w:sz w:val="21"/>
          <w:szCs w:val="21"/>
        </w:rPr>
        <w:t>项目团队及项目经验要求</w:t>
      </w:r>
    </w:p>
    <w:p w14:paraId="1AF41E86">
      <w:pPr>
        <w:numPr>
          <w:ilvl w:val="0"/>
          <w:numId w:val="0"/>
        </w:numPr>
        <w:spacing w:line="360" w:lineRule="auto"/>
        <w:ind w:leftChars="0" w:firstLine="420" w:firstLineChars="200"/>
        <w:jc w:val="left"/>
        <w:rPr>
          <w:rFonts w:hint="eastAsia" w:ascii="宋体" w:hAnsi="宋体" w:eastAsia="宋体" w:cs="宋体"/>
          <w:color w:val="auto"/>
          <w:sz w:val="21"/>
          <w:szCs w:val="21"/>
        </w:rPr>
      </w:pPr>
      <w:r>
        <w:rPr>
          <w:rFonts w:hint="eastAsia" w:cs="宋体"/>
          <w:b w:val="0"/>
          <w:color w:val="auto"/>
          <w:sz w:val="21"/>
          <w:szCs w:val="21"/>
          <w:lang w:val="en-US" w:eastAsia="zh-CN"/>
        </w:rPr>
        <w:t>1、</w:t>
      </w:r>
      <w:r>
        <w:rPr>
          <w:rFonts w:hint="eastAsia" w:ascii="宋体" w:hAnsi="宋体" w:eastAsia="宋体" w:cs="宋体"/>
          <w:b w:val="0"/>
          <w:color w:val="auto"/>
          <w:sz w:val="21"/>
          <w:szCs w:val="21"/>
        </w:rPr>
        <w:t>专项团队：</w:t>
      </w:r>
      <w:r>
        <w:rPr>
          <w:rFonts w:hint="eastAsia" w:cs="宋体"/>
          <w:b w:val="0"/>
          <w:color w:val="auto"/>
          <w:sz w:val="21"/>
          <w:szCs w:val="21"/>
          <w:lang w:val="en-US" w:eastAsia="zh-CN"/>
        </w:rPr>
        <w:t>乙方</w:t>
      </w:r>
      <w:r>
        <w:rPr>
          <w:rFonts w:hint="eastAsia" w:ascii="宋体" w:hAnsi="宋体" w:eastAsia="宋体" w:cs="宋体"/>
          <w:b w:val="0"/>
          <w:color w:val="auto"/>
          <w:sz w:val="21"/>
          <w:szCs w:val="21"/>
        </w:rPr>
        <w:t>须为本项目组建经验丰富的专项团队，包括项目负责人，技术负责人、技术开发人员、设计师、项目运营培训师等。</w:t>
      </w:r>
    </w:p>
    <w:p w14:paraId="2E5C8AC0">
      <w:pPr>
        <w:numPr>
          <w:ilvl w:val="0"/>
          <w:numId w:val="0"/>
        </w:numPr>
        <w:spacing w:line="360" w:lineRule="auto"/>
        <w:ind w:leftChars="0" w:firstLine="420" w:firstLineChars="200"/>
        <w:jc w:val="left"/>
        <w:rPr>
          <w:rFonts w:hint="eastAsia" w:ascii="宋体" w:hAnsi="宋体" w:eastAsia="宋体" w:cs="宋体"/>
          <w:color w:val="auto"/>
          <w:sz w:val="21"/>
          <w:szCs w:val="21"/>
        </w:rPr>
      </w:pPr>
      <w:r>
        <w:rPr>
          <w:rFonts w:hint="eastAsia" w:cs="宋体"/>
          <w:b w:val="0"/>
          <w:color w:val="auto"/>
          <w:sz w:val="21"/>
          <w:szCs w:val="21"/>
          <w:lang w:val="en-US" w:eastAsia="zh-CN"/>
        </w:rPr>
        <w:t>2、</w:t>
      </w:r>
      <w:r>
        <w:rPr>
          <w:rFonts w:hint="eastAsia" w:ascii="宋体" w:hAnsi="宋体" w:eastAsia="宋体" w:cs="宋体"/>
          <w:b w:val="0"/>
          <w:color w:val="auto"/>
          <w:sz w:val="21"/>
          <w:szCs w:val="21"/>
        </w:rPr>
        <w:t>成员经验：团队核心成员（如项目经理、技术负责人）有类似项目经验。</w:t>
      </w:r>
    </w:p>
    <w:p w14:paraId="137769DF">
      <w:pPr>
        <w:numPr>
          <w:ilvl w:val="0"/>
          <w:numId w:val="0"/>
        </w:numPr>
        <w:spacing w:line="360" w:lineRule="auto"/>
        <w:ind w:leftChars="0" w:firstLine="420" w:firstLineChars="200"/>
        <w:jc w:val="left"/>
        <w:rPr>
          <w:rFonts w:hint="eastAsia" w:ascii="宋体" w:hAnsi="宋体" w:eastAsia="宋体" w:cs="宋体"/>
          <w:color w:val="auto"/>
          <w:sz w:val="21"/>
          <w:szCs w:val="21"/>
        </w:rPr>
      </w:pPr>
      <w:r>
        <w:rPr>
          <w:rFonts w:hint="eastAsia" w:cs="宋体"/>
          <w:b w:val="0"/>
          <w:color w:val="auto"/>
          <w:sz w:val="21"/>
          <w:szCs w:val="21"/>
          <w:lang w:val="en-US" w:eastAsia="zh-CN"/>
        </w:rPr>
        <w:t>3、</w:t>
      </w:r>
      <w:r>
        <w:rPr>
          <w:rFonts w:hint="eastAsia" w:ascii="宋体" w:hAnsi="宋体" w:eastAsia="宋体" w:cs="宋体"/>
          <w:b w:val="0"/>
          <w:color w:val="auto"/>
          <w:sz w:val="21"/>
          <w:szCs w:val="21"/>
        </w:rPr>
        <w:t>项目经验要求：</w:t>
      </w:r>
      <w:r>
        <w:rPr>
          <w:rFonts w:hint="eastAsia" w:cs="宋体"/>
          <w:b w:val="0"/>
          <w:color w:val="auto"/>
          <w:sz w:val="21"/>
          <w:szCs w:val="21"/>
          <w:lang w:val="en-US" w:eastAsia="zh-CN"/>
        </w:rPr>
        <w:t>乙方</w:t>
      </w:r>
      <w:r>
        <w:rPr>
          <w:rFonts w:hint="eastAsia" w:ascii="宋体" w:hAnsi="宋体" w:eastAsia="宋体" w:cs="宋体"/>
          <w:b w:val="0"/>
          <w:color w:val="auto"/>
          <w:sz w:val="21"/>
          <w:szCs w:val="21"/>
        </w:rPr>
        <w:t>需提供近三年内完成的类似项目案例。（提供相应合同及中标通知书复印件作为佐证资料）。</w:t>
      </w:r>
    </w:p>
    <w:p w14:paraId="2CBEAFCF">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三、</w:t>
      </w:r>
      <w:r>
        <w:rPr>
          <w:rFonts w:hint="eastAsia" w:ascii="宋体" w:hAnsi="宋体" w:eastAsia="宋体" w:cs="宋体"/>
          <w:b/>
          <w:color w:val="auto"/>
          <w:sz w:val="21"/>
          <w:szCs w:val="21"/>
          <w:lang w:val="en-US" w:eastAsia="zh-CN"/>
        </w:rPr>
        <w:t>服务期</w:t>
      </w:r>
    </w:p>
    <w:p w14:paraId="20E2EE70">
      <w:pPr>
        <w:spacing w:line="240" w:lineRule="auto"/>
        <w:jc w:val="left"/>
        <w:rPr>
          <w:rFonts w:hint="eastAsia" w:ascii="宋体" w:hAnsi="宋体" w:eastAsia="宋体" w:cs="宋体"/>
          <w:b w:val="0"/>
          <w:color w:val="auto"/>
          <w:sz w:val="21"/>
          <w:szCs w:val="21"/>
          <w:highlight w:val="none"/>
        </w:rPr>
      </w:pPr>
      <w:r>
        <w:rPr>
          <w:rFonts w:hint="eastAsia" w:ascii="宋体" w:hAnsi="宋体" w:eastAsia="宋体" w:cs="宋体"/>
          <w:b w:val="0"/>
          <w:color w:val="auto"/>
          <w:sz w:val="21"/>
          <w:szCs w:val="21"/>
          <w:highlight w:val="none"/>
        </w:rPr>
        <w:t>合同签订后6个月内完成交货及安装工作（交货包括设备安装、调试、试运行）。</w:t>
      </w:r>
    </w:p>
    <w:p w14:paraId="3F901FCD">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四、服务期间（项目完成期限）</w:t>
      </w:r>
    </w:p>
    <w:p w14:paraId="5742BF0E">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1.委托服务期间自______年______月至______年______月止。</w:t>
      </w:r>
    </w:p>
    <w:p w14:paraId="47DE0186">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五、付款方式</w:t>
      </w:r>
    </w:p>
    <w:p w14:paraId="4214BDE4">
      <w:pPr>
        <w:numPr>
          <w:ilvl w:val="0"/>
          <w:numId w:val="0"/>
        </w:numPr>
        <w:spacing w:line="360" w:lineRule="auto"/>
        <w:ind w:leftChars="0"/>
        <w:jc w:val="left"/>
        <w:rPr>
          <w:rFonts w:hint="eastAsia" w:ascii="宋体" w:hAnsi="宋体" w:eastAsia="宋体" w:cs="宋体"/>
          <w:color w:val="auto"/>
          <w:sz w:val="21"/>
          <w:szCs w:val="21"/>
          <w:highlight w:val="none"/>
        </w:rPr>
      </w:pPr>
      <w:r>
        <w:rPr>
          <w:rFonts w:hint="eastAsia" w:cs="宋体"/>
          <w:b w:val="0"/>
          <w:color w:val="auto"/>
          <w:sz w:val="21"/>
          <w:szCs w:val="21"/>
          <w:highlight w:val="none"/>
          <w:lang w:val="en-US" w:eastAsia="zh-CN"/>
        </w:rPr>
        <w:t>1、</w:t>
      </w:r>
      <w:r>
        <w:rPr>
          <w:rFonts w:hint="eastAsia" w:ascii="宋体" w:hAnsi="宋体" w:eastAsia="宋体" w:cs="宋体"/>
          <w:b w:val="0"/>
          <w:color w:val="auto"/>
          <w:sz w:val="21"/>
          <w:szCs w:val="21"/>
          <w:highlight w:val="none"/>
        </w:rPr>
        <w:t>本项目合同总价为固定价，包含所有税费、软硬件（如有）购置、开发、集成、培训、验收及免费售后等全部费用。</w:t>
      </w:r>
    </w:p>
    <w:p w14:paraId="61C2B5BF">
      <w:pPr>
        <w:numPr>
          <w:ilvl w:val="0"/>
          <w:numId w:val="0"/>
        </w:numPr>
        <w:spacing w:line="360" w:lineRule="auto"/>
        <w:ind w:leftChars="0"/>
        <w:jc w:val="left"/>
        <w:rPr>
          <w:rFonts w:hint="eastAsia" w:ascii="宋体" w:hAnsi="宋体" w:eastAsia="宋体" w:cs="宋体"/>
          <w:color w:val="auto"/>
          <w:sz w:val="21"/>
          <w:szCs w:val="21"/>
          <w:highlight w:val="none"/>
        </w:rPr>
      </w:pPr>
      <w:r>
        <w:rPr>
          <w:rFonts w:hint="eastAsia" w:cs="宋体"/>
          <w:b w:val="0"/>
          <w:color w:val="auto"/>
          <w:sz w:val="21"/>
          <w:szCs w:val="21"/>
          <w:highlight w:val="none"/>
          <w:lang w:val="en-US" w:eastAsia="zh-CN"/>
        </w:rPr>
        <w:t>2、</w:t>
      </w:r>
      <w:r>
        <w:rPr>
          <w:rFonts w:hint="eastAsia" w:ascii="宋体" w:hAnsi="宋体" w:eastAsia="宋体" w:cs="宋体"/>
          <w:b w:val="0"/>
          <w:color w:val="auto"/>
          <w:sz w:val="21"/>
          <w:szCs w:val="21"/>
          <w:highlight w:val="none"/>
        </w:rPr>
        <w:t>付款进度安排如下：</w:t>
      </w:r>
    </w:p>
    <w:p w14:paraId="272453C2">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leftChars="0" w:right="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1 期：预付款，支付比例50%。合同签订生效后，乙方提交完整请款资料，甲方15个工作日内向乙方支付合同总价的 50% 作为预付款。 </w:t>
      </w:r>
    </w:p>
    <w:p w14:paraId="684332D6">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leftChars="0" w:right="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 xml:space="preserve">2 期：进度款，支付比例40%。项目完成全部核心功能模块开发，并通过甲方组织的阶段确认，乙方提交请款资料后，甲方15个工作日内向乙方支付至合同总价的90%。 </w:t>
      </w:r>
    </w:p>
    <w:p w14:paraId="7EBA465A">
      <w:pPr>
        <w:spacing w:line="360" w:lineRule="auto"/>
        <w:ind w:left="0" w:leftChars="0" w:firstLine="420" w:firstLineChars="200"/>
        <w:jc w:val="left"/>
        <w:rPr>
          <w:rFonts w:hint="default" w:cs="宋体"/>
          <w:b w:val="0"/>
          <w:bCs/>
          <w:color w:val="auto"/>
          <w:sz w:val="21"/>
          <w:szCs w:val="21"/>
          <w:highlight w:val="none"/>
          <w:lang w:val="en-US" w:eastAsia="zh-CN"/>
        </w:rPr>
      </w:pPr>
      <w:r>
        <w:rPr>
          <w:rFonts w:hint="eastAsia" w:cs="宋体"/>
          <w:b w:val="0"/>
          <w:bCs/>
          <w:color w:val="auto"/>
          <w:sz w:val="21"/>
          <w:szCs w:val="21"/>
          <w:highlight w:val="none"/>
          <w:lang w:val="en-US" w:eastAsia="zh-CN"/>
        </w:rPr>
        <w:t>3 期：尾款，支付比例10%。项目最终验收合格，乙方提交请款资料后，甲方15个工作日内向乙方支付至结算价的100%。(需送财政部门或第三方进行结算审核，待结算审核完成后付清剩余款项）</w:t>
      </w:r>
    </w:p>
    <w:p w14:paraId="46F493B8">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leftChars="0" w:right="0" w:firstLine="420" w:firstLineChars="200"/>
        <w:jc w:val="both"/>
        <w:textAlignment w:val="auto"/>
        <w:rPr>
          <w:rFonts w:hint="eastAsia" w:ascii="宋体" w:hAnsi="宋体" w:eastAsia="宋体" w:cs="宋体"/>
          <w:b w:val="0"/>
          <w:bCs/>
          <w:color w:val="auto"/>
          <w:sz w:val="21"/>
          <w:szCs w:val="21"/>
          <w:highlight w:val="none"/>
          <w:lang w:val="en-US" w:eastAsia="zh-CN"/>
        </w:rPr>
      </w:pPr>
      <w:r>
        <w:rPr>
          <w:rFonts w:hint="eastAsia" w:ascii="宋体" w:hAnsi="宋体" w:eastAsia="宋体" w:cs="宋体"/>
          <w:b w:val="0"/>
          <w:bCs/>
          <w:color w:val="auto"/>
          <w:sz w:val="21"/>
          <w:szCs w:val="21"/>
          <w:highlight w:val="none"/>
          <w:lang w:val="en-US" w:eastAsia="zh-CN"/>
        </w:rPr>
        <w:t>注：（1）每期申请支付合同款项时，乙方须向甲方提供中华人民共和国大陆地区合法有效发票。（2）因甲方使用的是财政性资金，甲方向政府采购支付部门提出支付申请的时间（不含政府采购支付部门的审核和支付时间），在规定时间内提交付款申请即视为甲方已履行付款义务，乙方不得以付款期限已过为由要求甲方承担违约责任。</w:t>
      </w:r>
    </w:p>
    <w:p w14:paraId="0EEF401C">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六、</w:t>
      </w:r>
      <w:r>
        <w:rPr>
          <w:rFonts w:hint="eastAsia" w:ascii="宋体" w:hAnsi="宋体" w:eastAsia="宋体" w:cs="宋体"/>
          <w:b/>
          <w:bCs/>
          <w:color w:val="auto"/>
          <w:sz w:val="21"/>
          <w:szCs w:val="21"/>
          <w:highlight w:val="none"/>
        </w:rPr>
        <w:t>合同履行期限：</w:t>
      </w:r>
      <w:r>
        <w:rPr>
          <w:rFonts w:hint="eastAsia" w:ascii="宋体" w:hAnsi="宋体" w:eastAsia="宋体" w:cs="宋体"/>
          <w:color w:val="auto"/>
          <w:sz w:val="21"/>
          <w:szCs w:val="21"/>
          <w:highlight w:val="none"/>
          <w:lang w:val="en-US" w:eastAsia="zh-CN"/>
        </w:rPr>
        <w:t>自合同生效之日起至合同全部权利义务履行完毕、质保服务到期之日止。</w:t>
      </w:r>
    </w:p>
    <w:p w14:paraId="34F13E19">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b/>
          <w:color w:val="auto"/>
          <w:sz w:val="21"/>
          <w:szCs w:val="21"/>
        </w:rPr>
      </w:pPr>
      <w:r>
        <w:rPr>
          <w:rFonts w:hint="eastAsia" w:ascii="宋体" w:hAnsi="宋体" w:eastAsia="宋体" w:cs="宋体"/>
          <w:b/>
          <w:color w:val="auto"/>
          <w:sz w:val="21"/>
          <w:szCs w:val="21"/>
          <w:highlight w:val="none"/>
        </w:rPr>
        <w:t>七、</w:t>
      </w:r>
      <w:r>
        <w:rPr>
          <w:rFonts w:hint="eastAsia" w:ascii="宋体" w:hAnsi="宋体" w:eastAsia="宋体" w:cs="宋体"/>
          <w:b/>
          <w:color w:val="auto"/>
          <w:sz w:val="21"/>
          <w:szCs w:val="21"/>
        </w:rPr>
        <w:t>售后服务要求</w:t>
      </w:r>
    </w:p>
    <w:p w14:paraId="12F4B31A">
      <w:pPr>
        <w:numPr>
          <w:ilvl w:val="0"/>
          <w:numId w:val="0"/>
        </w:numPr>
        <w:spacing w:line="360" w:lineRule="auto"/>
        <w:ind w:leftChars="0"/>
        <w:jc w:val="left"/>
        <w:rPr>
          <w:rFonts w:hint="eastAsia" w:ascii="宋体" w:hAnsi="宋体" w:eastAsia="宋体" w:cs="宋体"/>
          <w:color w:val="auto"/>
          <w:sz w:val="21"/>
          <w:szCs w:val="21"/>
        </w:rPr>
      </w:pPr>
      <w:r>
        <w:rPr>
          <w:rFonts w:hint="eastAsia" w:cs="宋体"/>
          <w:b w:val="0"/>
          <w:color w:val="auto"/>
          <w:sz w:val="21"/>
          <w:szCs w:val="21"/>
          <w:lang w:val="en-US" w:eastAsia="zh-CN"/>
        </w:rPr>
        <w:t>1、</w:t>
      </w:r>
      <w:r>
        <w:rPr>
          <w:rFonts w:hint="eastAsia" w:ascii="宋体" w:hAnsi="宋体" w:eastAsia="宋体" w:cs="宋体"/>
          <w:b w:val="0"/>
          <w:color w:val="auto"/>
          <w:sz w:val="21"/>
          <w:szCs w:val="21"/>
        </w:rPr>
        <w:t>免费维护期：自项目最终验收合格之日起，提供叁（3）年的免费原厂技术支持与维护服务。</w:t>
      </w:r>
    </w:p>
    <w:p w14:paraId="52E4E209">
      <w:pPr>
        <w:numPr>
          <w:ilvl w:val="0"/>
          <w:numId w:val="0"/>
        </w:numPr>
        <w:spacing w:line="360" w:lineRule="auto"/>
        <w:ind w:leftChars="0"/>
        <w:jc w:val="left"/>
        <w:rPr>
          <w:rFonts w:hint="eastAsia" w:ascii="宋体" w:hAnsi="宋体" w:eastAsia="宋体" w:cs="宋体"/>
          <w:color w:val="auto"/>
          <w:sz w:val="21"/>
          <w:szCs w:val="21"/>
        </w:rPr>
      </w:pPr>
      <w:r>
        <w:rPr>
          <w:rFonts w:hint="eastAsia" w:cs="宋体"/>
          <w:b w:val="0"/>
          <w:color w:val="auto"/>
          <w:sz w:val="21"/>
          <w:szCs w:val="21"/>
          <w:lang w:val="en-US" w:eastAsia="zh-CN"/>
        </w:rPr>
        <w:t>2、</w:t>
      </w:r>
      <w:r>
        <w:rPr>
          <w:rFonts w:hint="eastAsia" w:ascii="宋体" w:hAnsi="宋体" w:eastAsia="宋体" w:cs="宋体"/>
          <w:b w:val="0"/>
          <w:color w:val="auto"/>
          <w:sz w:val="21"/>
          <w:szCs w:val="21"/>
        </w:rPr>
        <w:t>服务响应：提供7×24小时故障受理服务，并承诺以下响应时效：</w:t>
      </w:r>
    </w:p>
    <w:p w14:paraId="1FE26CF8">
      <w:pPr>
        <w:spacing w:line="360" w:lineRule="auto"/>
        <w:ind w:firstLine="420"/>
        <w:jc w:val="left"/>
        <w:rPr>
          <w:rFonts w:hint="eastAsia" w:ascii="宋体" w:hAnsi="宋体" w:eastAsia="宋体" w:cs="宋体"/>
          <w:color w:val="auto"/>
          <w:sz w:val="21"/>
          <w:szCs w:val="21"/>
        </w:rPr>
      </w:pPr>
      <w:r>
        <w:rPr>
          <w:rFonts w:hint="eastAsia" w:cs="宋体"/>
          <w:b w:val="0"/>
          <w:color w:val="auto"/>
          <w:sz w:val="21"/>
          <w:szCs w:val="21"/>
          <w:lang w:eastAsia="zh-CN"/>
        </w:rPr>
        <w:t>（</w:t>
      </w:r>
      <w:r>
        <w:rPr>
          <w:rFonts w:hint="eastAsia" w:cs="宋体"/>
          <w:b w:val="0"/>
          <w:color w:val="auto"/>
          <w:sz w:val="21"/>
          <w:szCs w:val="21"/>
          <w:lang w:val="en-US" w:eastAsia="zh-CN"/>
        </w:rPr>
        <w:t>1</w:t>
      </w:r>
      <w:r>
        <w:rPr>
          <w:rFonts w:hint="eastAsia" w:cs="宋体"/>
          <w:b w:val="0"/>
          <w:color w:val="auto"/>
          <w:sz w:val="21"/>
          <w:szCs w:val="21"/>
          <w:lang w:eastAsia="zh-CN"/>
        </w:rPr>
        <w:t>）</w:t>
      </w:r>
      <w:r>
        <w:rPr>
          <w:rFonts w:hint="eastAsia" w:ascii="宋体" w:hAnsi="宋体" w:eastAsia="宋体" w:cs="宋体"/>
          <w:b w:val="0"/>
          <w:color w:val="auto"/>
          <w:sz w:val="21"/>
          <w:szCs w:val="21"/>
        </w:rPr>
        <w:t>一级故障（系统瘫痪）：2小时内响应，4小时内恢复。</w:t>
      </w:r>
    </w:p>
    <w:p w14:paraId="7B17289F">
      <w:pPr>
        <w:spacing w:line="360" w:lineRule="auto"/>
        <w:ind w:firstLine="420"/>
        <w:jc w:val="left"/>
        <w:rPr>
          <w:rFonts w:hint="eastAsia" w:ascii="宋体" w:hAnsi="宋体" w:eastAsia="宋体" w:cs="宋体"/>
          <w:color w:val="auto"/>
          <w:sz w:val="21"/>
          <w:szCs w:val="21"/>
        </w:rPr>
      </w:pPr>
      <w:r>
        <w:rPr>
          <w:rFonts w:hint="eastAsia" w:cs="宋体"/>
          <w:b w:val="0"/>
          <w:color w:val="auto"/>
          <w:sz w:val="21"/>
          <w:szCs w:val="21"/>
          <w:lang w:eastAsia="zh-CN"/>
        </w:rPr>
        <w:t>（</w:t>
      </w:r>
      <w:r>
        <w:rPr>
          <w:rFonts w:hint="eastAsia" w:cs="宋体"/>
          <w:b w:val="0"/>
          <w:color w:val="auto"/>
          <w:sz w:val="21"/>
          <w:szCs w:val="21"/>
          <w:lang w:val="en-US" w:eastAsia="zh-CN"/>
        </w:rPr>
        <w:t>2</w:t>
      </w:r>
      <w:r>
        <w:rPr>
          <w:rFonts w:hint="eastAsia" w:cs="宋体"/>
          <w:b w:val="0"/>
          <w:color w:val="auto"/>
          <w:sz w:val="21"/>
          <w:szCs w:val="21"/>
          <w:lang w:eastAsia="zh-CN"/>
        </w:rPr>
        <w:t>）</w:t>
      </w:r>
      <w:r>
        <w:rPr>
          <w:rFonts w:hint="eastAsia" w:ascii="宋体" w:hAnsi="宋体" w:eastAsia="宋体" w:cs="宋体"/>
          <w:b w:val="0"/>
          <w:color w:val="auto"/>
          <w:sz w:val="21"/>
          <w:szCs w:val="21"/>
        </w:rPr>
        <w:t>二级故障（主要功能失效）：4小时内响应，8小时内恢复。</w:t>
      </w:r>
    </w:p>
    <w:p w14:paraId="249B7F4A">
      <w:pPr>
        <w:spacing w:line="360" w:lineRule="auto"/>
        <w:ind w:firstLine="420"/>
        <w:jc w:val="left"/>
        <w:rPr>
          <w:rFonts w:hint="eastAsia" w:ascii="宋体" w:hAnsi="宋体" w:eastAsia="宋体" w:cs="宋体"/>
          <w:color w:val="auto"/>
          <w:sz w:val="21"/>
          <w:szCs w:val="21"/>
        </w:rPr>
      </w:pPr>
      <w:r>
        <w:rPr>
          <w:rFonts w:hint="eastAsia" w:cs="宋体"/>
          <w:b w:val="0"/>
          <w:color w:val="auto"/>
          <w:sz w:val="21"/>
          <w:szCs w:val="21"/>
          <w:lang w:eastAsia="zh-CN"/>
        </w:rPr>
        <w:t>（</w:t>
      </w:r>
      <w:r>
        <w:rPr>
          <w:rFonts w:hint="eastAsia" w:cs="宋体"/>
          <w:b w:val="0"/>
          <w:color w:val="auto"/>
          <w:sz w:val="21"/>
          <w:szCs w:val="21"/>
          <w:lang w:val="en-US" w:eastAsia="zh-CN"/>
        </w:rPr>
        <w:t>3</w:t>
      </w:r>
      <w:r>
        <w:rPr>
          <w:rFonts w:hint="eastAsia" w:cs="宋体"/>
          <w:b w:val="0"/>
          <w:color w:val="auto"/>
          <w:sz w:val="21"/>
          <w:szCs w:val="21"/>
          <w:lang w:eastAsia="zh-CN"/>
        </w:rPr>
        <w:t>）</w:t>
      </w:r>
      <w:r>
        <w:rPr>
          <w:rFonts w:hint="eastAsia" w:ascii="宋体" w:hAnsi="宋体" w:eastAsia="宋体" w:cs="宋体"/>
          <w:b w:val="0"/>
          <w:color w:val="auto"/>
          <w:sz w:val="21"/>
          <w:szCs w:val="21"/>
        </w:rPr>
        <w:t>三级故障（一般性错误）：1个工作日内响应。</w:t>
      </w:r>
    </w:p>
    <w:p w14:paraId="5F533262">
      <w:pPr>
        <w:spacing w:line="360" w:lineRule="auto"/>
        <w:ind w:firstLine="0"/>
        <w:jc w:val="left"/>
        <w:rPr>
          <w:rFonts w:hint="eastAsia" w:ascii="宋体" w:hAnsi="宋体" w:eastAsia="宋体" w:cs="宋体"/>
          <w:b w:val="0"/>
          <w:color w:val="auto"/>
          <w:sz w:val="21"/>
          <w:szCs w:val="21"/>
        </w:rPr>
      </w:pPr>
      <w:r>
        <w:rPr>
          <w:rFonts w:hint="eastAsia" w:cs="宋体"/>
          <w:b w:val="0"/>
          <w:color w:val="auto"/>
          <w:sz w:val="21"/>
          <w:szCs w:val="21"/>
          <w:lang w:val="en-US" w:eastAsia="zh-CN"/>
        </w:rPr>
        <w:t>3、</w:t>
      </w:r>
      <w:r>
        <w:rPr>
          <w:rFonts w:hint="eastAsia" w:ascii="宋体" w:hAnsi="宋体" w:eastAsia="宋体" w:cs="宋体"/>
          <w:b w:val="0"/>
          <w:color w:val="auto"/>
          <w:sz w:val="21"/>
          <w:szCs w:val="21"/>
        </w:rPr>
        <w:t>内容：免费服务期内，中标人应提供系统漏洞修复、日常技术咨询、数据备份支持及保证系统平稳运行所必需的功能优化升级。同时，并为托育机构教师配备对应的自主学习平台，支持其开展职业化能力提升学习，以整体提升托育机构的专业服务水平。超出合同范围的新功能开发，双方另行协商。</w:t>
      </w:r>
    </w:p>
    <w:p w14:paraId="73DD54F9">
      <w:pPr>
        <w:spacing w:line="360" w:lineRule="auto"/>
        <w:ind w:firstLine="0"/>
        <w:jc w:val="left"/>
        <w:rPr>
          <w:rFonts w:hint="eastAsia" w:ascii="宋体" w:hAnsi="宋体" w:eastAsia="宋体" w:cs="宋体"/>
          <w:b w:val="0"/>
          <w:color w:val="auto"/>
          <w:sz w:val="21"/>
          <w:szCs w:val="21"/>
          <w:lang w:val="en-US" w:eastAsia="zh-CN"/>
        </w:rPr>
      </w:pPr>
      <w:r>
        <w:rPr>
          <w:rFonts w:hint="eastAsia" w:cs="宋体"/>
          <w:b/>
          <w:bCs/>
          <w:color w:val="auto"/>
          <w:sz w:val="21"/>
          <w:szCs w:val="21"/>
          <w:lang w:val="en-US" w:eastAsia="zh-CN"/>
        </w:rPr>
        <w:t>八、</w:t>
      </w:r>
      <w:r>
        <w:rPr>
          <w:rFonts w:hint="eastAsia" w:ascii="宋体" w:hAnsi="宋体" w:eastAsia="宋体" w:cs="宋体"/>
          <w:b/>
          <w:color w:val="auto"/>
          <w:sz w:val="21"/>
          <w:szCs w:val="21"/>
        </w:rPr>
        <w:t>验收要求：</w:t>
      </w:r>
    </w:p>
    <w:p w14:paraId="19B91BF8">
      <w:pPr>
        <w:numPr>
          <w:ilvl w:val="0"/>
          <w:numId w:val="0"/>
        </w:numPr>
        <w:spacing w:line="360" w:lineRule="auto"/>
        <w:ind w:leftChars="0"/>
        <w:jc w:val="left"/>
        <w:rPr>
          <w:rFonts w:hint="eastAsia" w:ascii="宋体" w:hAnsi="宋体" w:eastAsia="宋体" w:cs="宋体"/>
          <w:color w:val="auto"/>
          <w:sz w:val="21"/>
          <w:szCs w:val="21"/>
        </w:rPr>
      </w:pPr>
      <w:r>
        <w:rPr>
          <w:rFonts w:hint="eastAsia" w:cs="宋体"/>
          <w:b w:val="0"/>
          <w:color w:val="auto"/>
          <w:sz w:val="21"/>
          <w:szCs w:val="21"/>
          <w:lang w:val="en-US" w:eastAsia="zh-CN"/>
        </w:rPr>
        <w:t>1、</w:t>
      </w:r>
      <w:r>
        <w:rPr>
          <w:rFonts w:hint="eastAsia" w:ascii="宋体" w:hAnsi="宋体" w:eastAsia="宋体" w:cs="宋体"/>
          <w:b w:val="0"/>
          <w:color w:val="auto"/>
          <w:sz w:val="21"/>
          <w:szCs w:val="21"/>
        </w:rPr>
        <w:t>验收依据：以经双方确认的《需求规格说明书》、《功能清单》、《技术详细方案》等投标文件承诺及国家相关标准为依据，完成产品的验收。</w:t>
      </w:r>
    </w:p>
    <w:p w14:paraId="1756369F">
      <w:pPr>
        <w:numPr>
          <w:ilvl w:val="0"/>
          <w:numId w:val="0"/>
        </w:numPr>
        <w:spacing w:line="360" w:lineRule="auto"/>
        <w:ind w:leftChars="0"/>
        <w:jc w:val="left"/>
        <w:rPr>
          <w:rFonts w:hint="eastAsia" w:ascii="宋体" w:hAnsi="宋体" w:eastAsia="宋体" w:cs="宋体"/>
          <w:color w:val="auto"/>
          <w:sz w:val="21"/>
          <w:szCs w:val="21"/>
        </w:rPr>
      </w:pPr>
      <w:r>
        <w:rPr>
          <w:rFonts w:hint="eastAsia" w:cs="宋体"/>
          <w:b w:val="0"/>
          <w:color w:val="auto"/>
          <w:sz w:val="21"/>
          <w:szCs w:val="21"/>
          <w:lang w:val="en-US" w:eastAsia="zh-CN"/>
        </w:rPr>
        <w:t>2、</w:t>
      </w:r>
      <w:r>
        <w:rPr>
          <w:rFonts w:hint="eastAsia" w:ascii="宋体" w:hAnsi="宋体" w:eastAsia="宋体" w:cs="宋体"/>
          <w:b w:val="0"/>
          <w:color w:val="auto"/>
          <w:sz w:val="21"/>
          <w:szCs w:val="21"/>
        </w:rPr>
        <w:t>验收分为初步验收和最终验收。系统开发完成后进行初验，初验合格后进入为期3个月的试运行期。试运行期满，系统运行稳定且满足所有功能要求和技术要求后，进行最终验收。</w:t>
      </w:r>
    </w:p>
    <w:p w14:paraId="4571D5CC">
      <w:pPr>
        <w:numPr>
          <w:ilvl w:val="0"/>
          <w:numId w:val="0"/>
        </w:numPr>
        <w:spacing w:line="360" w:lineRule="auto"/>
        <w:ind w:leftChars="0"/>
        <w:jc w:val="left"/>
        <w:rPr>
          <w:rFonts w:hint="eastAsia" w:ascii="宋体" w:hAnsi="宋体" w:eastAsia="宋体" w:cs="宋体"/>
          <w:b/>
          <w:color w:val="auto"/>
          <w:sz w:val="21"/>
          <w:szCs w:val="21"/>
        </w:rPr>
      </w:pPr>
      <w:r>
        <w:rPr>
          <w:rFonts w:hint="eastAsia" w:cs="宋体"/>
          <w:b w:val="0"/>
          <w:color w:val="auto"/>
          <w:sz w:val="21"/>
          <w:szCs w:val="21"/>
          <w:lang w:val="en-US" w:eastAsia="zh-CN"/>
        </w:rPr>
        <w:t>3、</w:t>
      </w:r>
      <w:r>
        <w:rPr>
          <w:rFonts w:hint="eastAsia" w:ascii="宋体" w:hAnsi="宋体" w:eastAsia="宋体" w:cs="宋体"/>
          <w:b w:val="0"/>
          <w:color w:val="auto"/>
          <w:sz w:val="21"/>
          <w:szCs w:val="21"/>
        </w:rPr>
        <w:t>交付文档：包括但不限于平台管理员账号、用户操作手册、API接口文档、培训记录等。</w:t>
      </w:r>
    </w:p>
    <w:p w14:paraId="37C63FC3">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rPr>
        <w:t>、违约责任与赔偿损失</w:t>
      </w:r>
    </w:p>
    <w:p w14:paraId="7F86E758">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1.乙方提供的服务不符合本合同规定的，甲方有权拒收，并且乙方须向甲方方支付本合同总价5%的违约金。</w:t>
      </w:r>
    </w:p>
    <w:p w14:paraId="73476790">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2.乙方未能按本合同规定的交货时间提供服务，从逾期之日起每日按本合同总价3‰的数额向甲方支付违约金；逾期半个月以上的，甲方有权终止合同，由此造成的甲方经济损失由乙方承担。</w:t>
      </w:r>
    </w:p>
    <w:p w14:paraId="182A9AE2">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r>
        <w:rPr>
          <w:rFonts w:hint="eastAsia" w:ascii="宋体" w:hAnsi="宋体" w:eastAsia="宋体" w:cs="宋体"/>
          <w:color w:val="auto"/>
          <w:sz w:val="21"/>
          <w:szCs w:val="21"/>
          <w:highlight w:val="none"/>
          <w:lang w:val="en-US" w:eastAsia="zh-CN"/>
        </w:rPr>
        <w:t>3</w:t>
      </w:r>
      <w:r>
        <w:rPr>
          <w:rFonts w:hint="eastAsia" w:ascii="宋体" w:hAnsi="宋体" w:eastAsia="宋体" w:cs="宋体"/>
          <w:color w:val="auto"/>
          <w:sz w:val="21"/>
          <w:szCs w:val="21"/>
          <w:highlight w:val="none"/>
        </w:rPr>
        <w:t>.对于因甲方原因导致变更、中止或者终止政府采购合同的，甲方应当依照以下合同约定对供应商受到的损失予以赔偿或者补偿：</w:t>
      </w:r>
    </w:p>
    <w:p w14:paraId="1B092939">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w:t>
      </w:r>
      <w:r>
        <w:rPr>
          <w:rFonts w:hint="eastAsia" w:ascii="宋体" w:hAnsi="宋体" w:eastAsia="宋体" w:cs="宋体"/>
          <w:color w:val="auto"/>
          <w:sz w:val="21"/>
          <w:szCs w:val="21"/>
          <w:highlight w:val="none"/>
          <w:lang w:val="en-US" w:eastAsia="zh-CN"/>
        </w:rPr>
        <w:t>4</w:t>
      </w:r>
      <w:r>
        <w:rPr>
          <w:rFonts w:hint="eastAsia" w:ascii="宋体" w:hAnsi="宋体" w:eastAsia="宋体" w:cs="宋体"/>
          <w:color w:val="auto"/>
          <w:sz w:val="21"/>
          <w:szCs w:val="21"/>
          <w:highlight w:val="none"/>
        </w:rPr>
        <w:t>.其它违约责任按《中华人民共和国民法典(合同编)》处理。</w:t>
      </w:r>
    </w:p>
    <w:p w14:paraId="70B7673F">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lang w:val="en-US" w:eastAsia="zh-CN"/>
        </w:rPr>
        <w:t>十</w:t>
      </w:r>
      <w:r>
        <w:rPr>
          <w:rFonts w:hint="eastAsia" w:ascii="宋体" w:hAnsi="宋体" w:eastAsia="宋体" w:cs="宋体"/>
          <w:b/>
          <w:color w:val="auto"/>
          <w:sz w:val="21"/>
          <w:szCs w:val="21"/>
          <w:highlight w:val="none"/>
        </w:rPr>
        <w:t>、争议的解决</w:t>
      </w:r>
    </w:p>
    <w:p w14:paraId="51D9FA4D">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firstLine="4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合同执行过程中发生的任何争议，如双方不能通过友好协商解决，按相关法律法规处理。     </w:t>
      </w:r>
    </w:p>
    <w:p w14:paraId="65B74F9C">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w:t>
      </w:r>
      <w:r>
        <w:rPr>
          <w:rFonts w:hint="eastAsia" w:ascii="宋体" w:hAnsi="宋体" w:eastAsia="宋体" w:cs="宋体"/>
          <w:b/>
          <w:color w:val="auto"/>
          <w:sz w:val="21"/>
          <w:szCs w:val="21"/>
          <w:highlight w:val="none"/>
          <w:lang w:val="en-US" w:eastAsia="zh-CN"/>
        </w:rPr>
        <w:t>一</w:t>
      </w:r>
      <w:r>
        <w:rPr>
          <w:rFonts w:hint="eastAsia" w:ascii="宋体" w:hAnsi="宋体" w:eastAsia="宋体" w:cs="宋体"/>
          <w:b/>
          <w:color w:val="auto"/>
          <w:sz w:val="21"/>
          <w:szCs w:val="21"/>
          <w:highlight w:val="none"/>
        </w:rPr>
        <w:t>、不可抗力</w:t>
      </w:r>
    </w:p>
    <w:p w14:paraId="7D49E1F2">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任何一方由于不可抗力原因不能履行合同时，应在不可抗力事件结束后1日内向对方通报，以减轻可能给对方造成的损失，在取得有关机构的不可抗力证明或双方谅解确认后，允许延期履行或修订合同，并根据情况可部分或全部免于承担违约责任。</w:t>
      </w:r>
    </w:p>
    <w:p w14:paraId="0F418010">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w:t>
      </w: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、税费</w:t>
      </w:r>
    </w:p>
    <w:p w14:paraId="1955D3E5">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在中国境内、外发生的与本合同执行有关的一切税费均由乙方负担。</w:t>
      </w:r>
    </w:p>
    <w:p w14:paraId="620A70A1">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、其它</w:t>
      </w:r>
    </w:p>
    <w:p w14:paraId="23902ED4">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1.本合同所有附件、招标文件、投标文件、中标通知书均为合同的有效组成部分，与本合同具有同等法律效力。</w:t>
      </w:r>
    </w:p>
    <w:p w14:paraId="76BD4835">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2.在执行本合同的过程中，所有经双方签署确认的文件（包括会议纪要、补充协议、往来信函）即成为本合同的有效组成部分。</w:t>
      </w:r>
    </w:p>
    <w:p w14:paraId="2BA0FC86">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3.如一方地址、电话、传真号码有变更，应在变更当日内书面通知对方，否则，应承担相应责任。</w:t>
      </w:r>
    </w:p>
    <w:p w14:paraId="0F2F4687">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4.除甲方事先书面同意外，乙方不得部分或全部转让其应履行的合同项下的义务。</w:t>
      </w:r>
    </w:p>
    <w:p w14:paraId="1A49E2FA">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十</w:t>
      </w: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合同生效</w:t>
      </w:r>
    </w:p>
    <w:p w14:paraId="7E6D7563">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1.本合同在甲乙双方法人代表或其授权代表签字盖章后生效。</w:t>
      </w:r>
    </w:p>
    <w:p w14:paraId="55A56898">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firstLine="42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2.合同一式</w:t>
      </w:r>
      <w:r>
        <w:rPr>
          <w:rFonts w:hint="eastAsia" w:ascii="宋体" w:hAnsi="宋体" w:eastAsia="宋体" w:cs="宋体"/>
          <w:color w:val="auto"/>
          <w:sz w:val="21"/>
          <w:szCs w:val="21"/>
          <w:highlight w:val="none"/>
          <w:u w:val="single"/>
        </w:rPr>
        <w:t xml:space="preserve">   </w:t>
      </w:r>
      <w:r>
        <w:rPr>
          <w:rFonts w:hint="eastAsia" w:ascii="宋体" w:hAnsi="宋体" w:eastAsia="宋体" w:cs="宋体"/>
          <w:color w:val="auto"/>
          <w:sz w:val="21"/>
          <w:szCs w:val="21"/>
          <w:highlight w:val="none"/>
        </w:rPr>
        <w:t xml:space="preserve"> 份。</w:t>
      </w:r>
    </w:p>
    <w:p w14:paraId="12AC3ABD">
      <w:pPr>
        <w:pStyle w:val="174"/>
        <w:keepNext w:val="0"/>
        <w:keepLines w:val="0"/>
        <w:pageBreakBefore w:val="0"/>
        <w:widowControl/>
        <w:shd w:val="clear"/>
        <w:kinsoku/>
        <w:wordWrap/>
        <w:overflowPunct/>
        <w:topLinePunct w:val="0"/>
        <w:autoSpaceDE/>
        <w:autoSpaceDN/>
        <w:bidi w:val="0"/>
        <w:adjustRightInd/>
        <w:snapToGrid/>
        <w:spacing w:before="0" w:after="0" w:line="480" w:lineRule="auto"/>
        <w:ind w:left="0" w:right="0" w:firstLine="420"/>
        <w:jc w:val="both"/>
        <w:textAlignment w:val="auto"/>
        <w:rPr>
          <w:rFonts w:hint="default"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十五、附件：项目采购内容、技术参数及配置清单（具体以中标参数为准）</w:t>
      </w:r>
    </w:p>
    <w:p w14:paraId="1B623607">
      <w:pPr>
        <w:adjustRightInd w:val="0"/>
        <w:snapToGrid w:val="0"/>
        <w:spacing w:line="360" w:lineRule="auto"/>
        <w:ind w:left="5565" w:leftChars="100" w:hanging="5355" w:hangingChars="2550"/>
        <w:jc w:val="both"/>
        <w:rPr>
          <w:rFonts w:hint="eastAsia" w:ascii="宋体" w:hAnsi="宋体" w:cs="宋体"/>
          <w:color w:val="auto"/>
          <w:sz w:val="21"/>
          <w:lang w:eastAsia="zh-CN"/>
        </w:rPr>
      </w:pPr>
    </w:p>
    <w:p w14:paraId="1A96BEEE">
      <w:pPr>
        <w:adjustRightInd w:val="0"/>
        <w:snapToGrid w:val="0"/>
        <w:spacing w:line="360" w:lineRule="auto"/>
        <w:ind w:left="5565" w:leftChars="100" w:hanging="5355" w:hangingChars="2550"/>
        <w:jc w:val="both"/>
        <w:rPr>
          <w:rFonts w:ascii="宋体" w:hAnsi="宋体" w:cs="宋体"/>
          <w:color w:val="auto"/>
          <w:sz w:val="21"/>
          <w:lang w:eastAsia="zh-CN"/>
        </w:rPr>
      </w:pPr>
      <w:r>
        <w:rPr>
          <w:rFonts w:hint="eastAsia" w:ascii="宋体" w:hAnsi="宋体" w:cs="宋体"/>
          <w:color w:val="auto"/>
          <w:sz w:val="21"/>
          <w:lang w:eastAsia="zh-CN"/>
        </w:rPr>
        <w:t>甲方（盖章）：</w:t>
      </w:r>
      <w:r>
        <w:rPr>
          <w:rFonts w:hint="eastAsia" w:ascii="宋体" w:hAnsi="宋体" w:cs="宋体"/>
          <w:color w:val="auto"/>
          <w:sz w:val="21"/>
          <w:lang w:val="en-US" w:eastAsia="zh-CN"/>
        </w:rPr>
        <w:t>阳江市妇幼保健院</w:t>
      </w:r>
      <w:r>
        <w:rPr>
          <w:rFonts w:hint="eastAsia" w:ascii="宋体" w:hAnsi="宋体" w:cs="宋体"/>
          <w:color w:val="auto"/>
          <w:sz w:val="21"/>
          <w:lang w:eastAsia="zh-CN"/>
        </w:rPr>
        <w:t xml:space="preserve">    </w:t>
      </w:r>
      <w:r>
        <w:rPr>
          <w:rFonts w:hint="eastAsia" w:ascii="宋体" w:hAnsi="宋体" w:cs="宋体"/>
          <w:color w:val="auto"/>
          <w:sz w:val="21"/>
          <w:lang w:val="en-US" w:eastAsia="zh-CN"/>
        </w:rPr>
        <w:t xml:space="preserve">   </w:t>
      </w:r>
      <w:r>
        <w:rPr>
          <w:rFonts w:hint="eastAsia" w:ascii="宋体" w:hAnsi="宋体" w:cs="宋体"/>
          <w:color w:val="auto"/>
          <w:sz w:val="21"/>
          <w:lang w:eastAsia="zh-CN"/>
        </w:rPr>
        <w:t>乙方（盖章）：</w:t>
      </w:r>
    </w:p>
    <w:p w14:paraId="2D592F61">
      <w:pPr>
        <w:adjustRightInd w:val="0"/>
        <w:snapToGrid w:val="0"/>
        <w:spacing w:line="360" w:lineRule="auto"/>
        <w:ind w:left="525" w:leftChars="100" w:hanging="315" w:hangingChars="150"/>
        <w:jc w:val="both"/>
        <w:rPr>
          <w:rFonts w:ascii="宋体" w:hAnsi="宋体" w:cs="宋体"/>
          <w:color w:val="auto"/>
          <w:sz w:val="21"/>
          <w:lang w:eastAsia="zh-CN"/>
        </w:rPr>
      </w:pPr>
    </w:p>
    <w:p w14:paraId="346AC00A">
      <w:pPr>
        <w:adjustRightInd w:val="0"/>
        <w:snapToGrid w:val="0"/>
        <w:spacing w:line="360" w:lineRule="auto"/>
        <w:ind w:left="525" w:leftChars="100" w:hanging="315" w:hangingChars="150"/>
        <w:jc w:val="both"/>
        <w:rPr>
          <w:rFonts w:ascii="宋体" w:hAnsi="宋体" w:cs="宋体"/>
          <w:color w:val="auto"/>
          <w:sz w:val="21"/>
          <w:lang w:eastAsia="zh-CN"/>
        </w:rPr>
      </w:pPr>
      <w:r>
        <w:rPr>
          <w:rFonts w:hint="eastAsia" w:ascii="宋体" w:hAnsi="宋体" w:cs="宋体"/>
          <w:color w:val="auto"/>
          <w:sz w:val="21"/>
          <w:lang w:eastAsia="zh-CN"/>
        </w:rPr>
        <w:t xml:space="preserve">法人代表：                        </w:t>
      </w:r>
      <w:r>
        <w:rPr>
          <w:rFonts w:hint="eastAsia" w:ascii="宋体" w:hAnsi="宋体" w:cs="宋体"/>
          <w:color w:val="auto"/>
          <w:sz w:val="21"/>
          <w:lang w:val="en-US" w:eastAsia="zh-CN"/>
        </w:rPr>
        <w:t xml:space="preserve">       </w:t>
      </w:r>
      <w:r>
        <w:rPr>
          <w:rFonts w:hint="eastAsia" w:ascii="宋体" w:hAnsi="宋体" w:cs="宋体"/>
          <w:color w:val="auto"/>
          <w:sz w:val="21"/>
          <w:lang w:eastAsia="zh-CN"/>
        </w:rPr>
        <w:t xml:space="preserve">法人代表：            </w:t>
      </w:r>
    </w:p>
    <w:p w14:paraId="4C373AE1">
      <w:pPr>
        <w:pStyle w:val="22"/>
        <w:rPr>
          <w:color w:val="auto"/>
        </w:rPr>
      </w:pPr>
    </w:p>
    <w:p w14:paraId="4D89EC68">
      <w:pPr>
        <w:pStyle w:val="22"/>
        <w:rPr>
          <w:i w:val="0"/>
          <w:iCs/>
          <w:color w:val="auto"/>
        </w:rPr>
      </w:pPr>
      <w:r>
        <w:rPr>
          <w:rFonts w:hint="eastAsia"/>
          <w:i w:val="0"/>
          <w:iCs/>
          <w:color w:val="auto"/>
        </w:rPr>
        <w:t xml:space="preserve">  </w:t>
      </w:r>
      <w:r>
        <w:rPr>
          <w:rFonts w:hint="eastAsia"/>
          <w:i w:val="0"/>
          <w:iCs/>
          <w:color w:val="auto"/>
          <w:lang w:val="en-US" w:eastAsia="zh-CN"/>
        </w:rPr>
        <w:t>授权</w:t>
      </w:r>
      <w:r>
        <w:rPr>
          <w:rFonts w:hint="eastAsia"/>
          <w:i w:val="0"/>
          <w:iCs/>
          <w:color w:val="auto"/>
        </w:rPr>
        <w:t xml:space="preserve">代理人（联系人）：            </w:t>
      </w:r>
      <w:r>
        <w:rPr>
          <w:rFonts w:hint="eastAsia"/>
          <w:i w:val="0"/>
          <w:iCs/>
          <w:color w:val="auto"/>
          <w:lang w:val="en-US" w:eastAsia="zh-CN"/>
        </w:rPr>
        <w:t xml:space="preserve">       授权</w:t>
      </w:r>
      <w:r>
        <w:rPr>
          <w:rFonts w:hint="eastAsia"/>
          <w:i w:val="0"/>
          <w:iCs/>
          <w:color w:val="auto"/>
        </w:rPr>
        <w:t>代理人（联系人）：</w:t>
      </w:r>
    </w:p>
    <w:p w14:paraId="6D5CEEB2">
      <w:pPr>
        <w:adjustRightInd w:val="0"/>
        <w:snapToGrid w:val="0"/>
        <w:spacing w:line="360" w:lineRule="auto"/>
        <w:jc w:val="both"/>
        <w:rPr>
          <w:rFonts w:ascii="宋体" w:hAnsi="宋体" w:cs="宋体"/>
          <w:color w:val="auto"/>
          <w:sz w:val="21"/>
          <w:lang w:eastAsia="zh-CN"/>
        </w:rPr>
      </w:pPr>
    </w:p>
    <w:p w14:paraId="103D8A65">
      <w:pPr>
        <w:adjustRightInd w:val="0"/>
        <w:snapToGrid w:val="0"/>
        <w:spacing w:line="360" w:lineRule="auto"/>
        <w:ind w:left="525" w:leftChars="100" w:hanging="315" w:hangingChars="150"/>
        <w:jc w:val="both"/>
        <w:rPr>
          <w:rFonts w:ascii="宋体" w:hAnsi="宋体" w:cs="宋体"/>
          <w:color w:val="auto"/>
          <w:sz w:val="21"/>
          <w:lang w:eastAsia="zh-CN"/>
        </w:rPr>
      </w:pPr>
      <w:r>
        <w:rPr>
          <w:rFonts w:hint="eastAsia" w:ascii="宋体" w:hAnsi="宋体" w:cs="宋体"/>
          <w:color w:val="auto"/>
          <w:sz w:val="21"/>
          <w:lang w:eastAsia="zh-CN"/>
        </w:rPr>
        <w:t xml:space="preserve">签定日期：     年   月     日       </w:t>
      </w:r>
      <w:r>
        <w:rPr>
          <w:rFonts w:hint="eastAsia" w:ascii="宋体" w:hAnsi="宋体" w:cs="宋体"/>
          <w:color w:val="auto"/>
          <w:sz w:val="21"/>
          <w:lang w:val="en-US" w:eastAsia="zh-CN"/>
        </w:rPr>
        <w:t xml:space="preserve">    </w:t>
      </w:r>
      <w:r>
        <w:rPr>
          <w:rFonts w:hint="eastAsia" w:ascii="宋体" w:hAnsi="宋体" w:cs="宋体"/>
          <w:color w:val="auto"/>
          <w:sz w:val="21"/>
          <w:lang w:eastAsia="zh-CN"/>
        </w:rPr>
        <w:t>签定日期：     年    月    日</w:t>
      </w:r>
    </w:p>
    <w:p w14:paraId="401A158F">
      <w:pPr>
        <w:adjustRightInd w:val="0"/>
        <w:snapToGrid w:val="0"/>
        <w:spacing w:line="360" w:lineRule="auto"/>
        <w:ind w:left="525" w:leftChars="100" w:hanging="315" w:hangingChars="150"/>
        <w:jc w:val="both"/>
        <w:rPr>
          <w:rFonts w:ascii="宋体" w:hAnsi="宋体" w:cs="宋体"/>
          <w:color w:val="auto"/>
          <w:sz w:val="21"/>
          <w:lang w:eastAsia="zh-CN"/>
        </w:rPr>
      </w:pPr>
    </w:p>
    <w:p w14:paraId="7DC36CB5">
      <w:pPr>
        <w:adjustRightInd w:val="0"/>
        <w:snapToGrid w:val="0"/>
        <w:spacing w:line="360" w:lineRule="auto"/>
        <w:ind w:left="525" w:leftChars="100" w:hanging="315" w:hangingChars="150"/>
        <w:jc w:val="both"/>
        <w:rPr>
          <w:rFonts w:ascii="宋体" w:hAnsi="宋体" w:cs="宋体"/>
          <w:color w:val="auto"/>
          <w:sz w:val="21"/>
          <w:lang w:eastAsia="zh-CN"/>
        </w:rPr>
      </w:pPr>
      <w:r>
        <w:rPr>
          <w:rFonts w:hint="eastAsia" w:ascii="宋体" w:hAnsi="宋体" w:cs="宋体"/>
          <w:color w:val="auto"/>
          <w:sz w:val="21"/>
          <w:lang w:eastAsia="zh-CN"/>
        </w:rPr>
        <w:t xml:space="preserve">开户名称：              </w:t>
      </w:r>
      <w:r>
        <w:rPr>
          <w:rFonts w:hint="eastAsia" w:ascii="宋体" w:hAnsi="宋体" w:cs="宋体"/>
          <w:color w:val="auto"/>
          <w:sz w:val="21"/>
          <w:lang w:val="en-US" w:eastAsia="zh-CN"/>
        </w:rPr>
        <w:t xml:space="preserve">                </w:t>
      </w:r>
      <w:r>
        <w:rPr>
          <w:rFonts w:hint="eastAsia" w:ascii="宋体" w:hAnsi="宋体" w:cs="宋体"/>
          <w:color w:val="auto"/>
          <w:sz w:val="21"/>
          <w:lang w:eastAsia="zh-CN"/>
        </w:rPr>
        <w:t>开户名称：</w:t>
      </w:r>
    </w:p>
    <w:p w14:paraId="2A48DD84">
      <w:pPr>
        <w:adjustRightInd w:val="0"/>
        <w:snapToGrid w:val="0"/>
        <w:spacing w:line="360" w:lineRule="auto"/>
        <w:ind w:left="5565" w:leftChars="100" w:hanging="5355" w:hangingChars="2550"/>
        <w:jc w:val="both"/>
        <w:rPr>
          <w:rFonts w:ascii="宋体" w:hAnsi="宋体" w:cs="宋体"/>
          <w:color w:val="auto"/>
          <w:sz w:val="21"/>
          <w:lang w:eastAsia="zh-CN"/>
        </w:rPr>
      </w:pPr>
      <w:r>
        <w:rPr>
          <w:rFonts w:hint="eastAsia" w:ascii="宋体" w:hAnsi="宋体" w:cs="宋体"/>
          <w:color w:val="auto"/>
          <w:sz w:val="21"/>
          <w:lang w:eastAsia="zh-CN"/>
        </w:rPr>
        <w:t xml:space="preserve">开户银行：     </w:t>
      </w:r>
      <w:r>
        <w:rPr>
          <w:rFonts w:hint="eastAsia" w:ascii="宋体" w:hAnsi="宋体" w:cs="宋体"/>
          <w:color w:val="auto"/>
          <w:sz w:val="21"/>
          <w:lang w:val="en-US" w:eastAsia="zh-CN"/>
        </w:rPr>
        <w:t xml:space="preserve">                         </w:t>
      </w:r>
      <w:r>
        <w:rPr>
          <w:rFonts w:hint="eastAsia" w:ascii="宋体" w:hAnsi="宋体" w:cs="宋体"/>
          <w:color w:val="auto"/>
          <w:sz w:val="21"/>
          <w:lang w:eastAsia="zh-CN"/>
        </w:rPr>
        <w:t xml:space="preserve">开户银行：                     </w:t>
      </w:r>
    </w:p>
    <w:p w14:paraId="322735A9">
      <w:pPr>
        <w:adjustRightInd w:val="0"/>
        <w:snapToGrid w:val="0"/>
        <w:spacing w:line="360" w:lineRule="auto"/>
        <w:ind w:left="525" w:leftChars="100" w:hanging="315" w:hangingChars="150"/>
        <w:jc w:val="both"/>
        <w:rPr>
          <w:rFonts w:hint="default" w:ascii="宋体" w:hAnsi="宋体" w:cs="宋体"/>
          <w:b/>
          <w:color w:val="auto"/>
          <w:sz w:val="32"/>
          <w:szCs w:val="32"/>
          <w:lang w:val="en-US" w:eastAsia="zh-CN"/>
        </w:rPr>
      </w:pPr>
      <w:r>
        <w:rPr>
          <w:rFonts w:hint="eastAsia" w:ascii="宋体" w:hAnsi="宋体" w:cs="宋体"/>
          <w:color w:val="auto"/>
          <w:sz w:val="21"/>
          <w:lang w:eastAsia="zh-CN"/>
        </w:rPr>
        <w:t xml:space="preserve">开户账号：                 </w:t>
      </w:r>
      <w:r>
        <w:rPr>
          <w:rFonts w:hint="eastAsia" w:ascii="宋体" w:hAnsi="宋体" w:cs="宋体"/>
          <w:color w:val="auto"/>
          <w:sz w:val="21"/>
          <w:lang w:val="en-US" w:eastAsia="zh-CN"/>
        </w:rPr>
        <w:t xml:space="preserve">             </w:t>
      </w:r>
      <w:r>
        <w:rPr>
          <w:rFonts w:hint="eastAsia" w:ascii="宋体" w:hAnsi="宋体" w:cs="宋体"/>
          <w:color w:val="auto"/>
          <w:sz w:val="21"/>
          <w:lang w:eastAsia="zh-CN"/>
        </w:rPr>
        <w:t>开户账号：</w:t>
      </w:r>
    </w:p>
    <w:p w14:paraId="47A619C3">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both"/>
        <w:textAlignment w:val="auto"/>
        <w:rPr>
          <w:rFonts w:hint="eastAsia" w:ascii="宋体" w:hAnsi="宋体" w:eastAsia="宋体" w:cs="宋体"/>
          <w:b/>
          <w:color w:val="auto"/>
          <w:sz w:val="21"/>
          <w:szCs w:val="21"/>
          <w:highlight w:val="none"/>
        </w:rPr>
      </w:pPr>
    </w:p>
    <w:p w14:paraId="312C56C0">
      <w:pPr>
        <w:pStyle w:val="174"/>
        <w:keepNext w:val="0"/>
        <w:keepLines w:val="0"/>
        <w:pageBreakBefore w:val="0"/>
        <w:shd w:val="clear"/>
        <w:kinsoku/>
        <w:wordWrap/>
        <w:overflowPunct/>
        <w:topLinePunct w:val="0"/>
        <w:autoSpaceDE/>
        <w:autoSpaceDN/>
        <w:bidi w:val="0"/>
        <w:adjustRightInd/>
        <w:snapToGrid/>
        <w:spacing w:before="0" w:after="0" w:line="360" w:lineRule="auto"/>
        <w:ind w:left="0" w:right="0"/>
        <w:jc w:val="both"/>
        <w:textAlignment w:val="auto"/>
        <w:rPr>
          <w:rFonts w:hint="eastAsia" w:ascii="宋体" w:hAnsi="宋体" w:eastAsia="宋体" w:cs="宋体"/>
          <w:b/>
          <w:color w:val="auto"/>
          <w:sz w:val="21"/>
          <w:szCs w:val="21"/>
          <w:highlight w:val="none"/>
        </w:rPr>
      </w:pPr>
    </w:p>
    <w:p w14:paraId="0B60BD1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1"/>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第六章 投标文件格式与要求</w:t>
      </w:r>
    </w:p>
    <w:p w14:paraId="59B65CA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投标人应提交证明其有资格参加投标和中标后有能力履行合同的相关文件，并作为其投标文件的一部分，所有文件必须真实可靠、不得伪造，否则将按相关规定予以处罚。</w:t>
      </w:r>
    </w:p>
    <w:p w14:paraId="5250715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1.法人或者其他组织的营业执照等证明文件，自然人的身份证明：</w:t>
      </w:r>
    </w:p>
    <w:p w14:paraId="0341DFB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法人包括企业法人、机关法人、事业单位法人和社会团体法人；其他组织主要包括合伙企业、非企业专业服务机构、个体工商户、农村承包经营户；自然人是指《中华人民共和国民法典》（以下简称《民法典》）规定的具有完全民事行为能力、能够承担民事责任和义务的公民。如投标人是企业（包括合伙企业），要提供在工商部门注册的有效“企业法人营业执照”或“营业执照”；如投标人是事业单位，要提供有效的“事业单位法人证书”；投标人是非企业专业服务机构的，如律师事务所，会计师事务所要提供执业许可证等证明文件；如投标人是个体工商户，要提供有效的“个体工商户营业执照”；如投标人是自然人，要提供有效的自然人身份证明。</w:t>
      </w:r>
    </w:p>
    <w:p w14:paraId="586B715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这里所指“其他组织”不包括法人的分支机构，由于法人分支机构不能独立承担民事责任，不能以分支机构的身份参加政府采购，只能以法人身份参加。“但由于银行、保险、石油石化、电力、电信等行业具有其特殊性，如果能够提供其法人给予的相应授权证明材料，可以参加政府采购活动”。</w:t>
      </w:r>
    </w:p>
    <w:p w14:paraId="7279FFC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2.财务状况报告，依法缴纳税收和社会保障资金的相关材料（详见资格性审查表要求）</w:t>
      </w:r>
    </w:p>
    <w:p w14:paraId="275C3E5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3.具有履行合同所必需的设备和专业技术能力的声明。</w:t>
      </w:r>
    </w:p>
    <w:p w14:paraId="189B0BD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4.投标人参加政府采购前三年内在经营活动中没有重大违法记录书面声明函。</w:t>
      </w:r>
    </w:p>
    <w:p w14:paraId="1E23D19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5.信用记录查询</w:t>
      </w:r>
    </w:p>
    <w:p w14:paraId="11D365D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（1）查询渠道：通过“信用中国”网站(www.creditchina.gov.cn)和“中国政府采购网”（www.ccgp.gov.cn）进行查询；</w:t>
      </w:r>
    </w:p>
    <w:p w14:paraId="0E59593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（2）查询截止时点：提交投标文件截止日当天；</w:t>
      </w:r>
    </w:p>
    <w:p w14:paraId="69C4EEA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（3）查询记录：对列入失信被执行人、重大税收违法案件当事人名单、政府采购严重违法失信行为记录名单、信用报告进行查询；</w:t>
      </w:r>
    </w:p>
    <w:p w14:paraId="2447CF4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采购人或采购代理机构应当按照查询渠道、查询时间节点、查询记录内容进行查询，并存档。对信用记录查询结果中显示投标人被列入失信被执行人、重大税收违法案件当事人名单、政府采购严重违法失信行为记录名单的投标人作无效投标处理。</w:t>
      </w:r>
    </w:p>
    <w:p w14:paraId="6C66CCE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 按照招标文件要求，投标人应当提交的资格、资信证明文件。</w:t>
      </w:r>
    </w:p>
    <w:p w14:paraId="0ACEEA1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rPr>
        <w:br w:type="textWrapping"/>
      </w:r>
    </w:p>
    <w:p w14:paraId="52F7002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p>
    <w:p w14:paraId="1811C77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p>
    <w:p w14:paraId="3762191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p>
    <w:p w14:paraId="2E230EA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投标文件封面</w:t>
      </w:r>
    </w:p>
    <w:p w14:paraId="207F05C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（项目名称）</w:t>
      </w:r>
    </w:p>
    <w:p w14:paraId="581D03B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p>
    <w:p w14:paraId="4CA4AA5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b/>
          <w:bCs w:val="0"/>
          <w:color w:val="auto"/>
          <w:sz w:val="44"/>
          <w:szCs w:val="44"/>
          <w:highlight w:val="none"/>
        </w:rPr>
      </w:pPr>
      <w:r>
        <w:rPr>
          <w:rFonts w:hint="eastAsia" w:ascii="宋体" w:hAnsi="宋体" w:eastAsia="宋体" w:cs="宋体"/>
          <w:b/>
          <w:bCs w:val="0"/>
          <w:color w:val="auto"/>
          <w:sz w:val="44"/>
          <w:szCs w:val="44"/>
          <w:highlight w:val="none"/>
        </w:rPr>
        <w:t>投标文件封面</w:t>
      </w:r>
    </w:p>
    <w:p w14:paraId="2C30717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0"/>
        <w:rPr>
          <w:rFonts w:hint="eastAsia" w:ascii="宋体" w:hAnsi="宋体" w:eastAsia="宋体" w:cs="宋体"/>
          <w:color w:val="auto"/>
          <w:sz w:val="21"/>
          <w:szCs w:val="21"/>
          <w:highlight w:val="none"/>
        </w:rPr>
      </w:pPr>
      <w:r>
        <w:rPr>
          <w:rFonts w:hint="eastAsia" w:ascii="宋体" w:hAnsi="宋体" w:eastAsia="宋体" w:cs="宋体"/>
          <w:b/>
          <w:bCs w:val="0"/>
          <w:color w:val="auto"/>
          <w:sz w:val="44"/>
          <w:szCs w:val="44"/>
          <w:highlight w:val="none"/>
        </w:rPr>
        <w:t>（正本/副本）</w:t>
      </w:r>
      <w:r>
        <w:rPr>
          <w:rFonts w:hint="eastAsia" w:ascii="宋体" w:hAnsi="宋体" w:eastAsia="宋体" w:cs="宋体"/>
          <w:b/>
          <w:bCs w:val="0"/>
          <w:color w:val="auto"/>
          <w:sz w:val="44"/>
          <w:szCs w:val="44"/>
          <w:highlight w:val="none"/>
        </w:rPr>
        <w:br w:type="textWrapping"/>
      </w:r>
      <w:r>
        <w:rPr>
          <w:rFonts w:hint="eastAsia" w:ascii="宋体" w:hAnsi="宋体" w:eastAsia="宋体" w:cs="宋体"/>
          <w:b/>
          <w:bCs w:val="0"/>
          <w:color w:val="auto"/>
          <w:sz w:val="32"/>
          <w:szCs w:val="32"/>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r>
        <w:rPr>
          <w:rFonts w:hint="eastAsia" w:ascii="宋体" w:hAnsi="宋体" w:eastAsia="宋体" w:cs="宋体"/>
          <w:color w:val="auto"/>
          <w:sz w:val="21"/>
          <w:szCs w:val="21"/>
          <w:highlight w:val="none"/>
        </w:rPr>
        <w:br w:type="textWrapping"/>
      </w:r>
    </w:p>
    <w:p w14:paraId="45D736D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lang w:eastAsia="zh-CN"/>
        </w:rPr>
      </w:pPr>
      <w:r>
        <w:rPr>
          <w:rFonts w:hint="eastAsia" w:ascii="宋体" w:hAnsi="宋体" w:eastAsia="宋体" w:cs="宋体"/>
          <w:b/>
          <w:color w:val="auto"/>
          <w:sz w:val="28"/>
          <w:szCs w:val="28"/>
          <w:highlight w:val="none"/>
        </w:rPr>
        <w:t>采购项目编号：</w:t>
      </w:r>
      <w:r>
        <w:rPr>
          <w:rFonts w:hint="eastAsia" w:ascii="宋体" w:hAnsi="宋体" w:eastAsia="宋体" w:cs="宋体"/>
          <w:b/>
          <w:color w:val="auto"/>
          <w:sz w:val="28"/>
          <w:szCs w:val="28"/>
          <w:highlight w:val="none"/>
          <w:lang w:eastAsia="zh-CN"/>
        </w:rPr>
        <w:t>YJYT20260929</w:t>
      </w:r>
    </w:p>
    <w:p w14:paraId="7DF9149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所投采购包：第 包</w:t>
      </w:r>
    </w:p>
    <w:p w14:paraId="21D3472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（投标人名称）</w:t>
      </w:r>
    </w:p>
    <w:p w14:paraId="3B29383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8"/>
          <w:szCs w:val="28"/>
          <w:highlight w:val="none"/>
        </w:rPr>
      </w:pPr>
      <w:r>
        <w:rPr>
          <w:rFonts w:hint="eastAsia" w:ascii="宋体" w:hAnsi="宋体" w:eastAsia="宋体" w:cs="宋体"/>
          <w:b/>
          <w:color w:val="auto"/>
          <w:sz w:val="28"/>
          <w:szCs w:val="28"/>
          <w:highlight w:val="none"/>
        </w:rPr>
        <w:t>年</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月</w:t>
      </w:r>
      <w:r>
        <w:rPr>
          <w:rFonts w:hint="eastAsia" w:ascii="宋体" w:hAnsi="宋体" w:eastAsia="宋体" w:cs="宋体"/>
          <w:b/>
          <w:color w:val="auto"/>
          <w:sz w:val="28"/>
          <w:szCs w:val="28"/>
          <w:highlight w:val="none"/>
          <w:lang w:val="en-US" w:eastAsia="zh-CN"/>
        </w:rPr>
        <w:t xml:space="preserve">  </w:t>
      </w:r>
      <w:r>
        <w:rPr>
          <w:rFonts w:hint="eastAsia" w:ascii="宋体" w:hAnsi="宋体" w:eastAsia="宋体" w:cs="宋体"/>
          <w:b/>
          <w:color w:val="auto"/>
          <w:sz w:val="28"/>
          <w:szCs w:val="28"/>
          <w:highlight w:val="none"/>
        </w:rPr>
        <w:t xml:space="preserve"> 日</w:t>
      </w:r>
    </w:p>
    <w:p w14:paraId="5F75C51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8"/>
          <w:szCs w:val="28"/>
          <w:highlight w:val="none"/>
        </w:rPr>
      </w:pPr>
    </w:p>
    <w:p w14:paraId="32EDA43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8"/>
          <w:szCs w:val="28"/>
          <w:highlight w:val="none"/>
        </w:rPr>
      </w:pPr>
    </w:p>
    <w:p w14:paraId="4BD5447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投标文件目录</w:t>
      </w:r>
    </w:p>
    <w:p w14:paraId="74FFEE6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一、投标函</w:t>
      </w:r>
    </w:p>
    <w:p w14:paraId="2312AC0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二、开标一览表</w:t>
      </w:r>
    </w:p>
    <w:p w14:paraId="64F5FA0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三、分项报价表</w:t>
      </w:r>
    </w:p>
    <w:p w14:paraId="13AC119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四、政策适用性说明</w:t>
      </w:r>
    </w:p>
    <w:p w14:paraId="08140FE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五、关于符合本国产品标准的声明函等有关证明文件</w:t>
      </w:r>
    </w:p>
    <w:p w14:paraId="2B4D583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六、法定代表人证明书</w:t>
      </w:r>
    </w:p>
    <w:p w14:paraId="1D45EC9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七、法定代表人授权书</w:t>
      </w:r>
    </w:p>
    <w:p w14:paraId="03ECA84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八、投标保证金</w:t>
      </w:r>
    </w:p>
    <w:p w14:paraId="46B63BA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九、提供具有独立承担民事责任的能力的证明材料</w:t>
      </w:r>
    </w:p>
    <w:p w14:paraId="77B46A9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十、资格性审查要求的其他资质证明文件</w:t>
      </w:r>
    </w:p>
    <w:p w14:paraId="75FD7D3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、阳江市政府采购供应商资格信用承诺函</w:t>
      </w:r>
    </w:p>
    <w:p w14:paraId="3566B3F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、承诺函</w:t>
      </w:r>
    </w:p>
    <w:p w14:paraId="7779079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、中小企业声明函</w:t>
      </w:r>
    </w:p>
    <w:p w14:paraId="6C3F54D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、监狱企业</w:t>
      </w:r>
    </w:p>
    <w:p w14:paraId="55754EE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、残疾人福利性单位声明函</w:t>
      </w:r>
    </w:p>
    <w:p w14:paraId="5E38791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六</w:t>
      </w:r>
      <w:r>
        <w:rPr>
          <w:rFonts w:hint="eastAsia" w:ascii="宋体" w:hAnsi="宋体" w:eastAsia="宋体" w:cs="宋体"/>
          <w:color w:val="auto"/>
          <w:sz w:val="21"/>
          <w:szCs w:val="21"/>
          <w:highlight w:val="none"/>
        </w:rPr>
        <w:t>、联合体共同投标协议书</w:t>
      </w:r>
    </w:p>
    <w:p w14:paraId="54D3976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七</w:t>
      </w:r>
      <w:r>
        <w:rPr>
          <w:rFonts w:hint="eastAsia" w:ascii="宋体" w:hAnsi="宋体" w:eastAsia="宋体" w:cs="宋体"/>
          <w:color w:val="auto"/>
          <w:sz w:val="21"/>
          <w:szCs w:val="21"/>
          <w:highlight w:val="none"/>
        </w:rPr>
        <w:t>、投标人业绩情况表</w:t>
      </w:r>
    </w:p>
    <w:p w14:paraId="1E5D1C9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八</w:t>
      </w:r>
      <w:r>
        <w:rPr>
          <w:rFonts w:hint="eastAsia" w:ascii="宋体" w:hAnsi="宋体" w:eastAsia="宋体" w:cs="宋体"/>
          <w:color w:val="auto"/>
          <w:sz w:val="21"/>
          <w:szCs w:val="21"/>
          <w:highlight w:val="none"/>
        </w:rPr>
        <w:t>、技术和服务要求响应表</w:t>
      </w:r>
    </w:p>
    <w:p w14:paraId="2528062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w:t>
      </w:r>
      <w:r>
        <w:rPr>
          <w:rFonts w:hint="eastAsia" w:ascii="宋体" w:hAnsi="宋体" w:eastAsia="宋体" w:cs="宋体"/>
          <w:color w:val="auto"/>
          <w:sz w:val="21"/>
          <w:szCs w:val="21"/>
          <w:highlight w:val="none"/>
          <w:lang w:val="en-US" w:eastAsia="zh-CN"/>
        </w:rPr>
        <w:t>九</w:t>
      </w:r>
      <w:r>
        <w:rPr>
          <w:rFonts w:hint="eastAsia" w:ascii="宋体" w:hAnsi="宋体" w:eastAsia="宋体" w:cs="宋体"/>
          <w:color w:val="auto"/>
          <w:sz w:val="21"/>
          <w:szCs w:val="21"/>
          <w:highlight w:val="none"/>
        </w:rPr>
        <w:t>、商务条件响应表</w:t>
      </w:r>
    </w:p>
    <w:p w14:paraId="35AAEDA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二十</w:t>
      </w:r>
      <w:r>
        <w:rPr>
          <w:rFonts w:hint="eastAsia" w:ascii="宋体" w:hAnsi="宋体" w:eastAsia="宋体" w:cs="宋体"/>
          <w:color w:val="auto"/>
          <w:sz w:val="21"/>
          <w:szCs w:val="21"/>
          <w:highlight w:val="none"/>
        </w:rPr>
        <w:t>、履约进度计划表</w:t>
      </w:r>
    </w:p>
    <w:p w14:paraId="0EF70B7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w:t>
      </w:r>
      <w:r>
        <w:rPr>
          <w:rFonts w:hint="eastAsia" w:ascii="宋体" w:hAnsi="宋体" w:eastAsia="宋体" w:cs="宋体"/>
          <w:color w:val="auto"/>
          <w:sz w:val="21"/>
          <w:szCs w:val="21"/>
          <w:highlight w:val="none"/>
          <w:lang w:val="en-US" w:eastAsia="zh-CN"/>
        </w:rPr>
        <w:t>一</w:t>
      </w:r>
      <w:r>
        <w:rPr>
          <w:rFonts w:hint="eastAsia" w:ascii="宋体" w:hAnsi="宋体" w:eastAsia="宋体" w:cs="宋体"/>
          <w:color w:val="auto"/>
          <w:sz w:val="21"/>
          <w:szCs w:val="21"/>
          <w:highlight w:val="none"/>
        </w:rPr>
        <w:t>、各类证明材料</w:t>
      </w:r>
    </w:p>
    <w:p w14:paraId="0F49F83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w:t>
      </w:r>
      <w:r>
        <w:rPr>
          <w:rFonts w:hint="eastAsia" w:ascii="宋体" w:hAnsi="宋体" w:eastAsia="宋体" w:cs="宋体"/>
          <w:color w:val="auto"/>
          <w:sz w:val="21"/>
          <w:szCs w:val="21"/>
          <w:highlight w:val="none"/>
          <w:lang w:val="en-US" w:eastAsia="zh-CN"/>
        </w:rPr>
        <w:t>二</w:t>
      </w:r>
      <w:r>
        <w:rPr>
          <w:rFonts w:hint="eastAsia" w:ascii="宋体" w:hAnsi="宋体" w:eastAsia="宋体" w:cs="宋体"/>
          <w:color w:val="auto"/>
          <w:sz w:val="21"/>
          <w:szCs w:val="21"/>
          <w:highlight w:val="none"/>
        </w:rPr>
        <w:t>、采购代理服务费支付承诺书</w:t>
      </w:r>
    </w:p>
    <w:p w14:paraId="5B27CE0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w:t>
      </w:r>
      <w:r>
        <w:rPr>
          <w:rFonts w:hint="eastAsia" w:ascii="宋体" w:hAnsi="宋体" w:eastAsia="宋体" w:cs="宋体"/>
          <w:color w:val="auto"/>
          <w:sz w:val="21"/>
          <w:szCs w:val="21"/>
          <w:highlight w:val="none"/>
          <w:lang w:val="en-US" w:eastAsia="zh-CN"/>
        </w:rPr>
        <w:t>三</w:t>
      </w:r>
      <w:r>
        <w:rPr>
          <w:rFonts w:hint="eastAsia" w:ascii="宋体" w:hAnsi="宋体" w:eastAsia="宋体" w:cs="宋体"/>
          <w:color w:val="auto"/>
          <w:sz w:val="21"/>
          <w:szCs w:val="21"/>
          <w:highlight w:val="none"/>
        </w:rPr>
        <w:t>、需要采购人提供的附加条件</w:t>
      </w:r>
    </w:p>
    <w:p w14:paraId="76F293A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w:t>
      </w:r>
      <w:r>
        <w:rPr>
          <w:rFonts w:hint="eastAsia" w:ascii="宋体" w:hAnsi="宋体" w:eastAsia="宋体" w:cs="宋体"/>
          <w:color w:val="auto"/>
          <w:sz w:val="21"/>
          <w:szCs w:val="21"/>
          <w:highlight w:val="none"/>
          <w:lang w:val="en-US" w:eastAsia="zh-CN"/>
        </w:rPr>
        <w:t>四</w:t>
      </w:r>
      <w:r>
        <w:rPr>
          <w:rFonts w:hint="eastAsia" w:ascii="宋体" w:hAnsi="宋体" w:eastAsia="宋体" w:cs="宋体"/>
          <w:color w:val="auto"/>
          <w:sz w:val="21"/>
          <w:szCs w:val="21"/>
          <w:highlight w:val="none"/>
        </w:rPr>
        <w:t>、询问函、质疑函、投诉书格式</w:t>
      </w:r>
    </w:p>
    <w:p w14:paraId="04DFD32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二十</w:t>
      </w:r>
      <w:r>
        <w:rPr>
          <w:rFonts w:hint="eastAsia" w:ascii="宋体" w:hAnsi="宋体" w:eastAsia="宋体" w:cs="宋体"/>
          <w:color w:val="auto"/>
          <w:sz w:val="21"/>
          <w:szCs w:val="21"/>
          <w:highlight w:val="none"/>
          <w:lang w:val="en-US" w:eastAsia="zh-CN"/>
        </w:rPr>
        <w:t>五</w:t>
      </w:r>
      <w:r>
        <w:rPr>
          <w:rFonts w:hint="eastAsia" w:ascii="宋体" w:hAnsi="宋体" w:eastAsia="宋体" w:cs="宋体"/>
          <w:color w:val="auto"/>
          <w:sz w:val="21"/>
          <w:szCs w:val="21"/>
          <w:highlight w:val="none"/>
        </w:rPr>
        <w:t>、项目实施方案、质量保证及售后服务承诺等</w:t>
      </w:r>
    </w:p>
    <w:p w14:paraId="5A49606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902625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E701BA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FDE6CD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43B217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9B30C8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5725403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410E4B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5CF7DC0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格式一：</w:t>
      </w:r>
    </w:p>
    <w:p w14:paraId="0FB71F5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投标函</w:t>
      </w:r>
    </w:p>
    <w:p w14:paraId="505DE0B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 xml:space="preserve"> 致：</w:t>
      </w:r>
      <w:r>
        <w:rPr>
          <w:rFonts w:hint="eastAsia" w:ascii="宋体" w:hAnsi="宋体" w:eastAsia="宋体" w:cs="宋体"/>
          <w:color w:val="auto"/>
          <w:sz w:val="21"/>
          <w:szCs w:val="21"/>
          <w:highlight w:val="none"/>
          <w:u w:val="single"/>
          <w:lang w:eastAsia="zh-CN"/>
        </w:rPr>
        <w:t>阳江市投源招标采购有限公司</w:t>
      </w:r>
    </w:p>
    <w:p w14:paraId="1342630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你方组织的</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阳江市托育综合服务中心智慧托育管理平台软件与硬件项目</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项目的招标[采购项目编号为：</w:t>
      </w:r>
      <w:r>
        <w:rPr>
          <w:rFonts w:hint="eastAsia" w:ascii="宋体" w:hAnsi="宋体" w:eastAsia="宋体" w:cs="宋体"/>
          <w:color w:val="auto"/>
          <w:sz w:val="21"/>
          <w:szCs w:val="21"/>
          <w:highlight w:val="none"/>
          <w:u w:val="single"/>
          <w:lang w:eastAsia="zh-CN"/>
        </w:rPr>
        <w:t>YJYT20260929</w:t>
      </w:r>
      <w:r>
        <w:rPr>
          <w:rFonts w:hint="eastAsia" w:ascii="宋体" w:hAnsi="宋体" w:eastAsia="宋体" w:cs="宋体"/>
          <w:color w:val="auto"/>
          <w:sz w:val="21"/>
          <w:szCs w:val="21"/>
          <w:highlight w:val="none"/>
        </w:rPr>
        <w:t>]，我方愿参与投标。</w:t>
      </w:r>
    </w:p>
    <w:p w14:paraId="258D776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(投标人名称)</w:t>
      </w:r>
      <w:r>
        <w:rPr>
          <w:rFonts w:hint="eastAsia" w:ascii="宋体" w:hAnsi="宋体" w:eastAsia="宋体" w:cs="宋体"/>
          <w:color w:val="auto"/>
          <w:sz w:val="21"/>
          <w:szCs w:val="21"/>
          <w:highlight w:val="none"/>
        </w:rPr>
        <w:t>作为投标人正式授权</w:t>
      </w:r>
      <w:r>
        <w:rPr>
          <w:rFonts w:hint="eastAsia" w:ascii="宋体" w:hAnsi="宋体" w:eastAsia="宋体" w:cs="宋体"/>
          <w:color w:val="auto"/>
          <w:sz w:val="21"/>
          <w:szCs w:val="21"/>
          <w:highlight w:val="none"/>
          <w:u w:val="single"/>
        </w:rPr>
        <w:t>(授权代表全名,职务)</w:t>
      </w:r>
      <w:r>
        <w:rPr>
          <w:rFonts w:hint="eastAsia" w:ascii="宋体" w:hAnsi="宋体" w:eastAsia="宋体" w:cs="宋体"/>
          <w:color w:val="auto"/>
          <w:sz w:val="21"/>
          <w:szCs w:val="21"/>
          <w:highlight w:val="none"/>
        </w:rPr>
        <w:t>代表我方全权处理有关本投标的一切事宜。</w:t>
      </w:r>
    </w:p>
    <w:p w14:paraId="74E347C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我方确认收到贵方提供的</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u w:val="single"/>
          <w:lang w:eastAsia="zh-CN"/>
        </w:rPr>
        <w:t>阳江市托育综合服务中心智慧托育管理平台软件与硬件项目</w:t>
      </w:r>
      <w:r>
        <w:rPr>
          <w:rFonts w:hint="eastAsia" w:ascii="宋体" w:hAnsi="宋体" w:eastAsia="宋体" w:cs="宋体"/>
          <w:color w:val="auto"/>
          <w:sz w:val="21"/>
          <w:szCs w:val="21"/>
          <w:highlight w:val="none"/>
          <w:u w:val="single"/>
        </w:rPr>
        <w:t>”</w:t>
      </w:r>
      <w:r>
        <w:rPr>
          <w:rFonts w:hint="eastAsia" w:ascii="宋体" w:hAnsi="宋体" w:eastAsia="宋体" w:cs="宋体"/>
          <w:color w:val="auto"/>
          <w:sz w:val="21"/>
          <w:szCs w:val="21"/>
          <w:highlight w:val="none"/>
        </w:rPr>
        <w:t>项目的招标文件的全部内容。</w:t>
      </w:r>
    </w:p>
    <w:p w14:paraId="4F5C30B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我方已完全明白招标文件的所有条款要求，并申明如下：</w:t>
      </w:r>
    </w:p>
    <w:p w14:paraId="70E44C7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（一）按招标文件提供全部标的投标总价详见《开标一览表》。</w:t>
      </w:r>
    </w:p>
    <w:p w14:paraId="3A710DC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二）本投标文件的有效期为从提交投标（响应）文件的截止之日起90日历天。在此提交的资格证明文件均至投标截止日有效，如有在投标有效期内失效的，我方承诺在中标后补齐一切手续，保证所有资格证明文件直至采购合同终止日有效。</w:t>
      </w:r>
    </w:p>
    <w:p w14:paraId="590657C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（三）我方明白并同意，在规定的开标日之后，投标有效期之内撤销投标或中标后不按规定与采购人签订合同或不提交履约保证金, 则贵方将不予退还投标保证金。</w:t>
      </w:r>
    </w:p>
    <w:p w14:paraId="4AF3AA1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（四）我方愿意向贵方提供任何与本项报价有关的数据、情况和技术资料。若贵方需要，我方愿意提供我方作出的一切承诺的证明材料。</w:t>
      </w:r>
    </w:p>
    <w:p w14:paraId="49006BB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（五）我方理解贵方不一定接受最低投标价或任何贵方可能收到的投标。</w:t>
      </w:r>
    </w:p>
    <w:p w14:paraId="54107C9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（六）我方如果中标，将保证履行招标（采购）文件及其澄清、修改文件（如果有）以及投标（响应）文件中的全部责任和义务，按质、按量、按期完成《合同书》中的全部任务。</w:t>
      </w:r>
    </w:p>
    <w:p w14:paraId="04BF31E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（七）我方作为法律、财务和运作上独立于采购人、采购代理机构的投标人，在此保证所提交的所有文件和全部说明是真实的和正确的。</w:t>
      </w:r>
    </w:p>
    <w:p w14:paraId="1B55791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（八）我方投标报价已包含应向知识产权所有权人支付的所有相关税费，并保证采购人在中国使用我方提供的标的时，如有第三方提出侵犯其知识产权主张的，责任由我方承担。</w:t>
      </w:r>
    </w:p>
    <w:p w14:paraId="0A89EA3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（九）我方接受采购人委托向贵方支付代理服务费，项目总报价已包含代理服务费，如果被确定为中标人，承诺向贵方足额支付。（若采购人支付代理服务费，则此条不适用）</w:t>
      </w:r>
    </w:p>
    <w:p w14:paraId="48D8932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（十）我方与其他投标人不存在单位负责人为同一人或者存在直接控股、管理关系。</w:t>
      </w:r>
    </w:p>
    <w:p w14:paraId="0F2DC86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（十一）投标人未存在《政府采购法实施条例》第十八条第二款规定的情形：</w:t>
      </w:r>
    </w:p>
    <w:p w14:paraId="4DF2E18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（1）对于除整体设计、规范编制或者项目管理、监理、检测等服务以外的采购项目:即未为本项目提供整体设计、规范编制或者项目管理、监理、检测等服务；</w:t>
      </w:r>
    </w:p>
    <w:p w14:paraId="4C4AF6E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（2）对于整体设计、规范编制或者项目管理、监理、检测等服务的项目:即未成为本项目除前期整体设计、规范编制或者项目管理、监理、检测等服务以外的其它采购活动中标商(或成交商)；</w:t>
      </w:r>
    </w:p>
    <w:p w14:paraId="777C68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（3）对于设计施工一体化的项目:即未为本项目提供规范编制或者项目管理、监理、检测等服务。</w:t>
      </w:r>
    </w:p>
    <w:p w14:paraId="5183801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（十二）我方承诺遵守《中华人民共和国民法典》有关规定和《中华人民共和国妇女权益保障法》中关于“劳动和社会保障权益”的有关要求。</w:t>
      </w:r>
    </w:p>
    <w:p w14:paraId="6357B6F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（十三）我方具备《中华人民共和国政府采购法》第二十二条规定的条件，声明如下：</w:t>
      </w:r>
    </w:p>
    <w:p w14:paraId="77FE5DE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我方参加本项目政府采购活动前3年内在经营活动中没有以下违法记录；因违法经营被禁止参加政府采购活动的期限已届满；因违法经营受到刑事处罚或者责令停产停业、吊销许可证或者执照、较大数额罚款等行政处罚。</w:t>
      </w:r>
    </w:p>
    <w:p w14:paraId="46E5D54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（2）我方符合法律、行政法规规定的其他条件。</w:t>
      </w:r>
    </w:p>
    <w:p w14:paraId="507CF36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四）如我方中标，将保证投标文件所提供的材料（包括需要年审、继续教育等完成后才能执业的行政许可、人员证书等情形），如果有效期未能覆盖项目（包组）合同履行期的，将提前按规定办理延期手续，确保合同顺利履行。</w:t>
      </w:r>
    </w:p>
    <w:p w14:paraId="42669E7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（十五）我方对在本函及投标文件中所作的所有承诺承担法律责任。</w:t>
      </w:r>
    </w:p>
    <w:p w14:paraId="5C65754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（十六）以上内容如有虚假或与事实不符的，评标委员会可将我方做无效投标处理，我方愿意承担相应的法律责任。</w:t>
      </w:r>
    </w:p>
    <w:p w14:paraId="6E6A319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（十七）所有与本招标有关的函件请发往下列地址：</w:t>
      </w:r>
    </w:p>
    <w:p w14:paraId="626DD04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 址：__________________邮政编码：__________________</w:t>
      </w:r>
    </w:p>
    <w:p w14:paraId="2F5E4C5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电 话：__________________</w:t>
      </w:r>
    </w:p>
    <w:p w14:paraId="30CD4C1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传 真：__________________电子邮箱：__________________</w:t>
      </w:r>
    </w:p>
    <w:p w14:paraId="0B1ACAA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代表姓名：__________________职 务：__________________</w:t>
      </w:r>
    </w:p>
    <w:p w14:paraId="2742A57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投标人法定代表人（或法定代表人授权代表）签字或盖章：__________________</w:t>
      </w:r>
    </w:p>
    <w:p w14:paraId="3A72D0B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投标人名称（盖章）：__________________</w:t>
      </w:r>
    </w:p>
    <w:p w14:paraId="2D0453C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5499545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DBA9E7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438135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528ED8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63F0A7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F2B204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188D0F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287536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68994A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5B97195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2E74CD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A4EC46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格式二：</w:t>
      </w:r>
    </w:p>
    <w:p w14:paraId="3B6CB39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开标一览表</w:t>
      </w:r>
    </w:p>
    <w:p w14:paraId="7C4FADF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AF0BC8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采购项目编号：</w:t>
      </w:r>
    </w:p>
    <w:p w14:paraId="6113A8E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p w14:paraId="2FE8CE3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76"/>
        <w:gridCol w:w="2010"/>
        <w:gridCol w:w="2899"/>
        <w:gridCol w:w="1080"/>
        <w:gridCol w:w="1230"/>
        <w:gridCol w:w="776"/>
      </w:tblGrid>
      <w:tr w14:paraId="336624C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90" w:hRule="atLeast"/>
          <w:jc w:val="center"/>
        </w:trPr>
        <w:tc>
          <w:tcPr>
            <w:tcW w:w="1076" w:type="dxa"/>
            <w:vAlign w:val="center"/>
          </w:tcPr>
          <w:p w14:paraId="6DBCE69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010" w:type="dxa"/>
            <w:vAlign w:val="center"/>
          </w:tcPr>
          <w:p w14:paraId="7D51176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采购项目名称/采购包名称</w:t>
            </w:r>
          </w:p>
        </w:tc>
        <w:tc>
          <w:tcPr>
            <w:tcW w:w="2899" w:type="dxa"/>
            <w:vAlign w:val="center"/>
          </w:tcPr>
          <w:p w14:paraId="35D8399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投标报价</w:t>
            </w:r>
          </w:p>
          <w:p w14:paraId="3C7EAB3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（元/%）</w:t>
            </w:r>
          </w:p>
        </w:tc>
        <w:tc>
          <w:tcPr>
            <w:tcW w:w="1080" w:type="dxa"/>
            <w:vAlign w:val="center"/>
          </w:tcPr>
          <w:p w14:paraId="0F9C693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交货期或</w:t>
            </w:r>
            <w:r>
              <w:rPr>
                <w:rFonts w:hint="eastAsia" w:ascii="宋体" w:hAnsi="宋体" w:eastAsia="宋体" w:cs="宋体"/>
                <w:color w:val="auto"/>
                <w:sz w:val="21"/>
                <w:szCs w:val="21"/>
                <w:highlight w:val="none"/>
              </w:rPr>
              <w:t>服务期</w:t>
            </w:r>
          </w:p>
        </w:tc>
        <w:tc>
          <w:tcPr>
            <w:tcW w:w="1230" w:type="dxa"/>
            <w:vAlign w:val="center"/>
          </w:tcPr>
          <w:p w14:paraId="0579F15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交货或服务地点</w:t>
            </w:r>
          </w:p>
        </w:tc>
        <w:tc>
          <w:tcPr>
            <w:tcW w:w="776" w:type="dxa"/>
            <w:vAlign w:val="center"/>
          </w:tcPr>
          <w:p w14:paraId="4B8CE76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备注</w:t>
            </w:r>
          </w:p>
        </w:tc>
      </w:tr>
      <w:tr w14:paraId="72C9666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trHeight w:val="1130" w:hRule="atLeast"/>
          <w:jc w:val="center"/>
        </w:trPr>
        <w:tc>
          <w:tcPr>
            <w:tcW w:w="1076" w:type="dxa"/>
            <w:vAlign w:val="center"/>
          </w:tcPr>
          <w:p w14:paraId="5F87752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2010" w:type="dxa"/>
          </w:tcPr>
          <w:p w14:paraId="503B6F7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02A22DD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185C252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5D15223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899" w:type="dxa"/>
          </w:tcPr>
          <w:p w14:paraId="5A36E837">
            <w:pPr>
              <w:shd w:val="clear"/>
              <w:spacing w:line="360" w:lineRule="auto"/>
              <w:rPr>
                <w:rFonts w:hint="eastAsia" w:ascii="宋体" w:hAnsi="宋体" w:eastAsia="宋体" w:cs="宋体"/>
                <w:bCs/>
                <w:color w:val="auto"/>
                <w:highlight w:val="none"/>
              </w:rPr>
            </w:pPr>
          </w:p>
          <w:p w14:paraId="54241A8F">
            <w:pPr>
              <w:shd w:val="clear"/>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大写：人民币</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 xml:space="preserve"> </w:t>
            </w:r>
          </w:p>
          <w:p w14:paraId="1AF07C75">
            <w:pPr>
              <w:shd w:val="clear"/>
              <w:spacing w:line="360" w:lineRule="auto"/>
              <w:rPr>
                <w:rFonts w:hint="eastAsia" w:ascii="宋体" w:hAnsi="宋体" w:eastAsia="宋体" w:cs="宋体"/>
                <w:bCs/>
                <w:color w:val="auto"/>
                <w:highlight w:val="none"/>
              </w:rPr>
            </w:pPr>
          </w:p>
          <w:p w14:paraId="3A2CF109">
            <w:pPr>
              <w:shd w:val="clear"/>
              <w:spacing w:line="360" w:lineRule="auto"/>
              <w:rPr>
                <w:rFonts w:hint="eastAsia" w:ascii="宋体" w:hAnsi="宋体" w:eastAsia="宋体" w:cs="宋体"/>
                <w:color w:val="auto"/>
                <w:sz w:val="21"/>
                <w:szCs w:val="21"/>
                <w:highlight w:val="none"/>
              </w:rPr>
            </w:pPr>
            <w:r>
              <w:rPr>
                <w:rFonts w:hint="eastAsia" w:ascii="宋体" w:hAnsi="宋体" w:eastAsia="宋体" w:cs="宋体"/>
                <w:bCs/>
                <w:color w:val="auto"/>
                <w:highlight w:val="none"/>
              </w:rPr>
              <w:t xml:space="preserve">小写：¥ </w:t>
            </w:r>
            <w:r>
              <w:rPr>
                <w:rFonts w:hint="eastAsia" w:ascii="宋体" w:hAnsi="宋体" w:eastAsia="宋体" w:cs="宋体"/>
                <w:bCs/>
                <w:color w:val="auto"/>
                <w:highlight w:val="none"/>
                <w:u w:val="single"/>
              </w:rPr>
              <w:t xml:space="preserve">                 </w:t>
            </w:r>
            <w:r>
              <w:rPr>
                <w:rFonts w:hint="eastAsia" w:ascii="宋体" w:hAnsi="宋体" w:eastAsia="宋体" w:cs="宋体"/>
                <w:bCs/>
                <w:color w:val="auto"/>
                <w:highlight w:val="none"/>
              </w:rPr>
              <w:t xml:space="preserve"> </w:t>
            </w:r>
          </w:p>
        </w:tc>
        <w:tc>
          <w:tcPr>
            <w:tcW w:w="1080" w:type="dxa"/>
          </w:tcPr>
          <w:p w14:paraId="777D5DB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230" w:type="dxa"/>
          </w:tcPr>
          <w:p w14:paraId="6B30AC0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776" w:type="dxa"/>
          </w:tcPr>
          <w:p w14:paraId="75ED46C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0C6F0EE3">
      <w:pPr>
        <w:numPr>
          <w:ilvl w:val="0"/>
          <w:numId w:val="0"/>
        </w:numPr>
        <w:shd w:val="clear"/>
        <w:tabs>
          <w:tab w:val="left" w:pos="1365"/>
        </w:tabs>
        <w:spacing w:line="360" w:lineRule="auto"/>
        <w:ind w:leftChars="0"/>
        <w:rPr>
          <w:rFonts w:hint="eastAsia" w:ascii="宋体" w:hAnsi="宋体" w:eastAsia="宋体" w:cs="宋体"/>
          <w:bCs/>
          <w:color w:val="auto"/>
          <w:highlight w:val="none"/>
          <w:lang w:val="en-US" w:eastAsia="zh-CN"/>
        </w:rPr>
      </w:pPr>
      <w:r>
        <w:rPr>
          <w:rFonts w:hint="eastAsia" w:ascii="宋体" w:hAnsi="宋体" w:eastAsia="宋体" w:cs="宋体"/>
          <w:bCs/>
          <w:color w:val="auto"/>
          <w:highlight w:val="none"/>
          <w:lang w:val="en-US" w:eastAsia="zh-CN"/>
        </w:rPr>
        <w:t>注：</w:t>
      </w:r>
    </w:p>
    <w:p w14:paraId="2262AA0D">
      <w:pPr>
        <w:numPr>
          <w:ilvl w:val="0"/>
          <w:numId w:val="17"/>
        </w:numPr>
        <w:shd w:val="clear"/>
        <w:tabs>
          <w:tab w:val="left" w:pos="1365"/>
        </w:tabs>
        <w:spacing w:line="360" w:lineRule="auto"/>
        <w:rPr>
          <w:rFonts w:hint="eastAsia" w:ascii="宋体" w:hAnsi="宋体" w:eastAsia="宋体" w:cs="宋体"/>
          <w:bCs/>
          <w:color w:val="auto"/>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highlight w:val="none"/>
        </w:rPr>
        <w:t>投标人填写此表时不得改变表格的形式。</w:t>
      </w:r>
    </w:p>
    <w:p w14:paraId="2C43B35C">
      <w:pPr>
        <w:numPr>
          <w:ilvl w:val="0"/>
          <w:numId w:val="17"/>
        </w:numPr>
        <w:shd w:val="clear"/>
        <w:tabs>
          <w:tab w:val="left" w:pos="1365"/>
        </w:tabs>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如果投标人认为有应当说明而本表中无相应栏目的内容，请在“备注”栏中添加说明。</w:t>
      </w:r>
    </w:p>
    <w:p w14:paraId="65C142DA">
      <w:pPr>
        <w:numPr>
          <w:ilvl w:val="0"/>
          <w:numId w:val="17"/>
        </w:numPr>
        <w:shd w:val="clear"/>
        <w:tabs>
          <w:tab w:val="left" w:pos="1365"/>
        </w:tabs>
        <w:spacing w:line="360" w:lineRule="auto"/>
        <w:rPr>
          <w:rFonts w:hint="eastAsia" w:ascii="宋体" w:hAnsi="宋体" w:eastAsia="宋体" w:cs="宋体"/>
          <w:bCs/>
          <w:color w:val="auto"/>
          <w:highlight w:val="none"/>
        </w:rPr>
      </w:pPr>
      <w:r>
        <w:rPr>
          <w:rFonts w:hint="eastAsia" w:ascii="宋体" w:hAnsi="宋体" w:eastAsia="宋体" w:cs="宋体"/>
          <w:bCs/>
          <w:color w:val="auto"/>
          <w:highlight w:val="none"/>
        </w:rPr>
        <w:t>投标人应将 “开标一览表”（加盖公章），一份单独密封于信封内，一份装订入投标文件正本。</w:t>
      </w:r>
    </w:p>
    <w:p w14:paraId="5BD009C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05BF292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239DC8A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1258D8E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30A9D15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18DD118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投标人签章：__________________</w:t>
      </w:r>
    </w:p>
    <w:p w14:paraId="190DC31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6D5F644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FD495A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1E5060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857549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格式三：</w:t>
      </w:r>
    </w:p>
    <w:p w14:paraId="5310D23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分项报价表</w:t>
      </w:r>
    </w:p>
    <w:p w14:paraId="3F3B137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588169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采购项目编号：</w:t>
      </w:r>
    </w:p>
    <w:p w14:paraId="1E3DE2E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w:t>
      </w:r>
    </w:p>
    <w:p w14:paraId="22540ED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投标人名称：</w:t>
      </w:r>
    </w:p>
    <w:p w14:paraId="7821629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采购包：</w:t>
      </w:r>
    </w:p>
    <w:p w14:paraId="5BB1283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货币及单位：人民币/元</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647"/>
        <w:gridCol w:w="705"/>
        <w:gridCol w:w="1260"/>
        <w:gridCol w:w="765"/>
        <w:gridCol w:w="765"/>
        <w:gridCol w:w="1301"/>
      </w:tblGrid>
      <w:tr w14:paraId="79D9EA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31BD213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品目号</w:t>
            </w:r>
          </w:p>
        </w:tc>
        <w:tc>
          <w:tcPr>
            <w:tcW w:w="907" w:type="dxa"/>
            <w:vAlign w:val="center"/>
          </w:tcPr>
          <w:p w14:paraId="3A3594B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907" w:type="dxa"/>
            <w:vAlign w:val="center"/>
          </w:tcPr>
          <w:p w14:paraId="1193062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货物</w:t>
            </w:r>
          </w:p>
          <w:p w14:paraId="39B54D9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907" w:type="dxa"/>
            <w:vAlign w:val="center"/>
          </w:tcPr>
          <w:p w14:paraId="6A31C9A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规格</w:t>
            </w:r>
          </w:p>
          <w:p w14:paraId="76BB816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tc>
        <w:tc>
          <w:tcPr>
            <w:tcW w:w="647" w:type="dxa"/>
            <w:vAlign w:val="center"/>
          </w:tcPr>
          <w:p w14:paraId="642EBBA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品牌</w:t>
            </w:r>
          </w:p>
        </w:tc>
        <w:tc>
          <w:tcPr>
            <w:tcW w:w="705" w:type="dxa"/>
            <w:vAlign w:val="center"/>
          </w:tcPr>
          <w:p w14:paraId="3DB52DD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产地</w:t>
            </w:r>
          </w:p>
        </w:tc>
        <w:tc>
          <w:tcPr>
            <w:tcW w:w="1260" w:type="dxa"/>
            <w:vAlign w:val="center"/>
          </w:tcPr>
          <w:p w14:paraId="5BA30CB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制造商</w:t>
            </w:r>
          </w:p>
          <w:p w14:paraId="4D6A3D4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765" w:type="dxa"/>
            <w:vAlign w:val="center"/>
          </w:tcPr>
          <w:p w14:paraId="56F5585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765" w:type="dxa"/>
            <w:vAlign w:val="center"/>
          </w:tcPr>
          <w:p w14:paraId="3681A87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301" w:type="dxa"/>
            <w:vAlign w:val="center"/>
          </w:tcPr>
          <w:p w14:paraId="06D7ECF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合计</w:t>
            </w:r>
          </w:p>
        </w:tc>
      </w:tr>
      <w:tr w14:paraId="4232AFE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8089E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07" w:type="dxa"/>
            <w:vAlign w:val="center"/>
          </w:tcPr>
          <w:p w14:paraId="588EDB9E">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744CF0F0">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39B59713">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647" w:type="dxa"/>
            <w:vAlign w:val="center"/>
          </w:tcPr>
          <w:p w14:paraId="43F060B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05" w:type="dxa"/>
            <w:vAlign w:val="center"/>
          </w:tcPr>
          <w:p w14:paraId="1DEB586E">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260" w:type="dxa"/>
            <w:vAlign w:val="center"/>
          </w:tcPr>
          <w:p w14:paraId="5F99BC36">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715CE6B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71C072EF">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301" w:type="dxa"/>
            <w:vAlign w:val="center"/>
          </w:tcPr>
          <w:p w14:paraId="1A770C8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r>
      <w:tr w14:paraId="49A2128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4A63403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2</w:t>
            </w:r>
          </w:p>
        </w:tc>
        <w:tc>
          <w:tcPr>
            <w:tcW w:w="907" w:type="dxa"/>
            <w:vAlign w:val="center"/>
          </w:tcPr>
          <w:p w14:paraId="6CF2A87C">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44F09235">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4D9EE36A">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647" w:type="dxa"/>
            <w:vAlign w:val="center"/>
          </w:tcPr>
          <w:p w14:paraId="6B276ED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05" w:type="dxa"/>
            <w:vAlign w:val="center"/>
          </w:tcPr>
          <w:p w14:paraId="1EEB4115">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260" w:type="dxa"/>
            <w:vAlign w:val="center"/>
          </w:tcPr>
          <w:p w14:paraId="04EEB65F">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3226F758">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1EB894B3">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301" w:type="dxa"/>
            <w:vAlign w:val="center"/>
          </w:tcPr>
          <w:p w14:paraId="455EBD30">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r>
      <w:tr w14:paraId="468208C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6D97C71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w:t>
            </w:r>
          </w:p>
        </w:tc>
        <w:tc>
          <w:tcPr>
            <w:tcW w:w="907" w:type="dxa"/>
            <w:vAlign w:val="center"/>
          </w:tcPr>
          <w:p w14:paraId="5CDB0484">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7D2E79D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3CED7832">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647" w:type="dxa"/>
            <w:vAlign w:val="center"/>
          </w:tcPr>
          <w:p w14:paraId="7DA0F35A">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05" w:type="dxa"/>
            <w:vAlign w:val="center"/>
          </w:tcPr>
          <w:p w14:paraId="65D7181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260" w:type="dxa"/>
            <w:vAlign w:val="center"/>
          </w:tcPr>
          <w:p w14:paraId="2475E900">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4FF69D1F">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4C8A2BF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301" w:type="dxa"/>
            <w:vAlign w:val="center"/>
          </w:tcPr>
          <w:p w14:paraId="2972E433">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r>
      <w:tr w14:paraId="649342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0EA4B74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814" w:type="dxa"/>
            <w:gridSpan w:val="2"/>
            <w:vAlign w:val="center"/>
          </w:tcPr>
          <w:p w14:paraId="26A2CD4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2"/>
                <w:sz w:val="21"/>
                <w:szCs w:val="21"/>
                <w:highlight w:val="none"/>
              </w:rPr>
            </w:pPr>
          </w:p>
          <w:p w14:paraId="54FE1CC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rPr>
              <w:t>投标总价</w:t>
            </w:r>
          </w:p>
        </w:tc>
        <w:tc>
          <w:tcPr>
            <w:tcW w:w="3519" w:type="dxa"/>
            <w:gridSpan w:val="4"/>
            <w:vAlign w:val="center"/>
          </w:tcPr>
          <w:p w14:paraId="521A6B58">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2"/>
                <w:sz w:val="21"/>
                <w:szCs w:val="21"/>
                <w:highlight w:val="none"/>
              </w:rPr>
            </w:pPr>
          </w:p>
          <w:p w14:paraId="7CAD8D91">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rPr>
              <w:t>（大写）人民币</w:t>
            </w:r>
          </w:p>
        </w:tc>
        <w:tc>
          <w:tcPr>
            <w:tcW w:w="2831" w:type="dxa"/>
            <w:gridSpan w:val="3"/>
            <w:vAlign w:val="center"/>
          </w:tcPr>
          <w:p w14:paraId="60256745">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2"/>
                <w:sz w:val="21"/>
                <w:szCs w:val="21"/>
                <w:highlight w:val="none"/>
              </w:rPr>
            </w:pPr>
          </w:p>
          <w:p w14:paraId="72984970">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rPr>
              <w:t>（小写）￥</w:t>
            </w:r>
          </w:p>
        </w:tc>
      </w:tr>
    </w:tbl>
    <w:p w14:paraId="18B47CA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br w:type="textWrapping"/>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907"/>
        <w:gridCol w:w="907"/>
        <w:gridCol w:w="907"/>
        <w:gridCol w:w="907"/>
        <w:gridCol w:w="907"/>
        <w:gridCol w:w="907"/>
        <w:gridCol w:w="798"/>
        <w:gridCol w:w="765"/>
        <w:gridCol w:w="765"/>
        <w:gridCol w:w="1301"/>
      </w:tblGrid>
      <w:tr w14:paraId="49C495B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FF91BC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品目号</w:t>
            </w:r>
          </w:p>
        </w:tc>
        <w:tc>
          <w:tcPr>
            <w:tcW w:w="907" w:type="dxa"/>
            <w:vAlign w:val="center"/>
          </w:tcPr>
          <w:p w14:paraId="13880D6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907" w:type="dxa"/>
            <w:vAlign w:val="center"/>
          </w:tcPr>
          <w:p w14:paraId="0CEA5E6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35FCB66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名称</w:t>
            </w:r>
          </w:p>
        </w:tc>
        <w:tc>
          <w:tcPr>
            <w:tcW w:w="907" w:type="dxa"/>
            <w:vAlign w:val="center"/>
          </w:tcPr>
          <w:p w14:paraId="3DB53A1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71DF3F0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范围</w:t>
            </w:r>
          </w:p>
        </w:tc>
        <w:tc>
          <w:tcPr>
            <w:tcW w:w="907" w:type="dxa"/>
            <w:vAlign w:val="center"/>
          </w:tcPr>
          <w:p w14:paraId="1078C75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2563134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要求</w:t>
            </w:r>
          </w:p>
        </w:tc>
        <w:tc>
          <w:tcPr>
            <w:tcW w:w="907" w:type="dxa"/>
            <w:vAlign w:val="center"/>
          </w:tcPr>
          <w:p w14:paraId="4FC46022">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w:t>
            </w:r>
          </w:p>
          <w:p w14:paraId="18232B0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时间</w:t>
            </w:r>
          </w:p>
        </w:tc>
        <w:tc>
          <w:tcPr>
            <w:tcW w:w="798" w:type="dxa"/>
            <w:vAlign w:val="center"/>
          </w:tcPr>
          <w:p w14:paraId="65A2EAB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服务标准</w:t>
            </w:r>
          </w:p>
        </w:tc>
        <w:tc>
          <w:tcPr>
            <w:tcW w:w="765" w:type="dxa"/>
            <w:vAlign w:val="center"/>
          </w:tcPr>
          <w:p w14:paraId="5EA7B40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单价</w:t>
            </w:r>
          </w:p>
        </w:tc>
        <w:tc>
          <w:tcPr>
            <w:tcW w:w="765" w:type="dxa"/>
            <w:vAlign w:val="center"/>
          </w:tcPr>
          <w:p w14:paraId="50FCD22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数量</w:t>
            </w:r>
          </w:p>
        </w:tc>
        <w:tc>
          <w:tcPr>
            <w:tcW w:w="1301" w:type="dxa"/>
            <w:vAlign w:val="center"/>
          </w:tcPr>
          <w:p w14:paraId="32AE614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合计</w:t>
            </w:r>
          </w:p>
        </w:tc>
      </w:tr>
      <w:tr w14:paraId="217D6B5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7237AB0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07" w:type="dxa"/>
            <w:vAlign w:val="center"/>
          </w:tcPr>
          <w:p w14:paraId="7EDB8317">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36CB5889">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255E7889">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7439A612">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2376D7B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98" w:type="dxa"/>
            <w:vAlign w:val="center"/>
          </w:tcPr>
          <w:p w14:paraId="11743CE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4819220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33C1C6D0">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301" w:type="dxa"/>
            <w:vAlign w:val="center"/>
          </w:tcPr>
          <w:p w14:paraId="3F9A9629">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r>
      <w:tr w14:paraId="7048198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579C3E9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2</w:t>
            </w:r>
          </w:p>
        </w:tc>
        <w:tc>
          <w:tcPr>
            <w:tcW w:w="907" w:type="dxa"/>
            <w:vAlign w:val="center"/>
          </w:tcPr>
          <w:p w14:paraId="3C61CC8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256C0505">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1A78C21C">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7477A0B9">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602BCDCA">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98" w:type="dxa"/>
            <w:vAlign w:val="center"/>
          </w:tcPr>
          <w:p w14:paraId="15A72678">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68B4A96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5C552977">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301" w:type="dxa"/>
            <w:vAlign w:val="center"/>
          </w:tcPr>
          <w:p w14:paraId="69007AE6">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r>
      <w:tr w14:paraId="111072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8ADB2A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w:t>
            </w:r>
          </w:p>
        </w:tc>
        <w:tc>
          <w:tcPr>
            <w:tcW w:w="907" w:type="dxa"/>
            <w:vAlign w:val="center"/>
          </w:tcPr>
          <w:p w14:paraId="588F227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47D6C01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704BCD7B">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01947125">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907" w:type="dxa"/>
            <w:vAlign w:val="center"/>
          </w:tcPr>
          <w:p w14:paraId="1DB5BE03">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98" w:type="dxa"/>
            <w:vAlign w:val="center"/>
          </w:tcPr>
          <w:p w14:paraId="5490F8AE">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1E60654D">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765" w:type="dxa"/>
            <w:vAlign w:val="center"/>
          </w:tcPr>
          <w:p w14:paraId="5935ECEE">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301" w:type="dxa"/>
            <w:vAlign w:val="center"/>
          </w:tcPr>
          <w:p w14:paraId="4C814FC8">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r>
      <w:tr w14:paraId="391F2B82">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07" w:type="dxa"/>
            <w:vAlign w:val="center"/>
          </w:tcPr>
          <w:p w14:paraId="11BB92B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p>
        </w:tc>
        <w:tc>
          <w:tcPr>
            <w:tcW w:w="1814" w:type="dxa"/>
            <w:gridSpan w:val="2"/>
            <w:vAlign w:val="center"/>
          </w:tcPr>
          <w:p w14:paraId="77C24AF1">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2"/>
                <w:sz w:val="21"/>
                <w:szCs w:val="21"/>
                <w:highlight w:val="none"/>
              </w:rPr>
            </w:pPr>
          </w:p>
          <w:p w14:paraId="206884C6">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rPr>
              <w:t>投标总价</w:t>
            </w:r>
          </w:p>
        </w:tc>
        <w:tc>
          <w:tcPr>
            <w:tcW w:w="3519" w:type="dxa"/>
            <w:gridSpan w:val="4"/>
            <w:vAlign w:val="center"/>
          </w:tcPr>
          <w:p w14:paraId="63316180">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2"/>
                <w:sz w:val="21"/>
                <w:szCs w:val="21"/>
                <w:highlight w:val="none"/>
              </w:rPr>
            </w:pPr>
          </w:p>
          <w:p w14:paraId="634BA601">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rPr>
              <w:t>（大写）人民币</w:t>
            </w:r>
          </w:p>
        </w:tc>
        <w:tc>
          <w:tcPr>
            <w:tcW w:w="2831" w:type="dxa"/>
            <w:gridSpan w:val="3"/>
            <w:vAlign w:val="center"/>
          </w:tcPr>
          <w:p w14:paraId="74967683">
            <w:pPr>
              <w:keepNext w:val="0"/>
              <w:keepLines w:val="0"/>
              <w:pageBreakBefore w:val="0"/>
              <w:shd w:val="clear"/>
              <w:kinsoku/>
              <w:wordWrap/>
              <w:overflowPunct/>
              <w:topLinePunct w:val="0"/>
              <w:autoSpaceDE/>
              <w:autoSpaceDN/>
              <w:bidi w:val="0"/>
              <w:adjustRightInd/>
              <w:snapToGrid/>
              <w:spacing w:line="360" w:lineRule="auto"/>
              <w:jc w:val="center"/>
              <w:textAlignment w:val="auto"/>
              <w:rPr>
                <w:rFonts w:hint="eastAsia" w:ascii="宋体" w:hAnsi="宋体" w:eastAsia="宋体" w:cs="宋体"/>
                <w:bCs/>
                <w:color w:val="auto"/>
                <w:kern w:val="2"/>
                <w:sz w:val="21"/>
                <w:szCs w:val="21"/>
                <w:highlight w:val="none"/>
              </w:rPr>
            </w:pPr>
          </w:p>
          <w:p w14:paraId="1E56F916">
            <w:pPr>
              <w:keepNext w:val="0"/>
              <w:keepLines w:val="0"/>
              <w:pageBreakBefore w:val="0"/>
              <w:shd w:val="clear"/>
              <w:kinsoku/>
              <w:wordWrap/>
              <w:overflowPunct/>
              <w:topLinePunct w:val="0"/>
              <w:autoSpaceDE/>
              <w:autoSpaceDN/>
              <w:bidi w:val="0"/>
              <w:adjustRightInd/>
              <w:snapToGrid/>
              <w:spacing w:line="360" w:lineRule="auto"/>
              <w:jc w:val="left"/>
              <w:textAlignment w:val="auto"/>
              <w:rPr>
                <w:rFonts w:hint="eastAsia" w:ascii="宋体" w:hAnsi="宋体" w:eastAsia="宋体" w:cs="宋体"/>
                <w:color w:val="auto"/>
                <w:sz w:val="21"/>
                <w:szCs w:val="21"/>
                <w:highlight w:val="none"/>
              </w:rPr>
            </w:pPr>
            <w:r>
              <w:rPr>
                <w:rFonts w:hint="eastAsia" w:ascii="宋体" w:hAnsi="宋体" w:eastAsia="宋体" w:cs="宋体"/>
                <w:bCs/>
                <w:color w:val="auto"/>
                <w:kern w:val="2"/>
                <w:sz w:val="21"/>
                <w:szCs w:val="21"/>
                <w:highlight w:val="none"/>
              </w:rPr>
              <w:t>（小写）￥</w:t>
            </w:r>
          </w:p>
        </w:tc>
      </w:tr>
    </w:tbl>
    <w:p w14:paraId="0DDEBB9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51ABAAF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p w14:paraId="4DCE28D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投标人签章：__________________</w:t>
      </w:r>
    </w:p>
    <w:p w14:paraId="199C900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36EF78A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格式四：</w:t>
      </w:r>
    </w:p>
    <w:p w14:paraId="0794194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政策适用性说明</w:t>
      </w:r>
    </w:p>
    <w:p w14:paraId="35D1C30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按照政府采购有关政策的要求，在本次的技术方案中，采用符合政策的小型或微型企业产品、节能产品、环境标志产品，主要产品与核心技术介绍说明如下：</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133"/>
        <w:gridCol w:w="1134"/>
        <w:gridCol w:w="1134"/>
        <w:gridCol w:w="1134"/>
        <w:gridCol w:w="1134"/>
        <w:gridCol w:w="1134"/>
        <w:gridCol w:w="1134"/>
        <w:gridCol w:w="1134"/>
      </w:tblGrid>
      <w:tr w14:paraId="5AD0FAA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29FB75A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序号</w:t>
            </w:r>
          </w:p>
        </w:tc>
        <w:tc>
          <w:tcPr>
            <w:tcW w:w="1038" w:type="dxa"/>
            <w:vAlign w:val="top"/>
          </w:tcPr>
          <w:p w14:paraId="0DAF407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主要产品/技术名称（规格型号、注册商标）</w:t>
            </w:r>
          </w:p>
        </w:tc>
        <w:tc>
          <w:tcPr>
            <w:tcW w:w="1038" w:type="dxa"/>
            <w:vAlign w:val="top"/>
          </w:tcPr>
          <w:p w14:paraId="5231385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制造商(开发商)</w:t>
            </w:r>
          </w:p>
        </w:tc>
        <w:tc>
          <w:tcPr>
            <w:tcW w:w="1038" w:type="dxa"/>
            <w:vAlign w:val="top"/>
          </w:tcPr>
          <w:p w14:paraId="1EA245E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制造商企业类型</w:t>
            </w:r>
          </w:p>
        </w:tc>
        <w:tc>
          <w:tcPr>
            <w:tcW w:w="1038" w:type="dxa"/>
            <w:vAlign w:val="top"/>
          </w:tcPr>
          <w:p w14:paraId="4EEF859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节能产品</w:t>
            </w:r>
          </w:p>
        </w:tc>
        <w:tc>
          <w:tcPr>
            <w:tcW w:w="1038" w:type="dxa"/>
            <w:vAlign w:val="top"/>
          </w:tcPr>
          <w:p w14:paraId="7EC28D7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环境标志产品</w:t>
            </w:r>
          </w:p>
        </w:tc>
        <w:tc>
          <w:tcPr>
            <w:tcW w:w="1038" w:type="dxa"/>
            <w:vAlign w:val="top"/>
          </w:tcPr>
          <w:p w14:paraId="6E3BE31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认证证书编号</w:t>
            </w:r>
          </w:p>
        </w:tc>
        <w:tc>
          <w:tcPr>
            <w:tcW w:w="1038" w:type="dxa"/>
            <w:vAlign w:val="top"/>
          </w:tcPr>
          <w:p w14:paraId="2D71ABA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该产品报价在总报价中占比（%）</w:t>
            </w:r>
          </w:p>
        </w:tc>
      </w:tr>
      <w:tr w14:paraId="26725D3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DF1C23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w:t>
            </w:r>
          </w:p>
        </w:tc>
        <w:tc>
          <w:tcPr>
            <w:tcW w:w="1038" w:type="dxa"/>
            <w:vAlign w:val="top"/>
          </w:tcPr>
          <w:p w14:paraId="505E6A2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70D2134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4F83985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8E1C81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39A5908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3321A1F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3881D2F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3583322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46F81A3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w:t>
            </w:r>
          </w:p>
        </w:tc>
        <w:tc>
          <w:tcPr>
            <w:tcW w:w="1038" w:type="dxa"/>
            <w:vAlign w:val="top"/>
          </w:tcPr>
          <w:p w14:paraId="7DB2F74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1395701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14B28FC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23A858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237C066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75A193A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0972677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3A857C3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5B27F58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w:t>
            </w:r>
          </w:p>
        </w:tc>
        <w:tc>
          <w:tcPr>
            <w:tcW w:w="1038" w:type="dxa"/>
            <w:vAlign w:val="top"/>
          </w:tcPr>
          <w:p w14:paraId="103BB76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3265231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8DD207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7D251BE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2D12E7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2B99D78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3724628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7363167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7B3FBDF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4</w:t>
            </w:r>
          </w:p>
        </w:tc>
        <w:tc>
          <w:tcPr>
            <w:tcW w:w="1038" w:type="dxa"/>
            <w:vAlign w:val="top"/>
          </w:tcPr>
          <w:p w14:paraId="53F9F44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697F842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740718C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964701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0194BF0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688E73A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1F65936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0C7570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69D053E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5</w:t>
            </w:r>
          </w:p>
        </w:tc>
        <w:tc>
          <w:tcPr>
            <w:tcW w:w="1038" w:type="dxa"/>
            <w:vAlign w:val="top"/>
          </w:tcPr>
          <w:p w14:paraId="62CF4E5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2BF9E3F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AD515E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6366060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2B7442A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6DBD846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17954DB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628EE9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038" w:type="dxa"/>
            <w:vAlign w:val="top"/>
          </w:tcPr>
          <w:p w14:paraId="06F5DAF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1038" w:type="dxa"/>
            <w:vAlign w:val="top"/>
          </w:tcPr>
          <w:p w14:paraId="18F6A3E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990E1A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6BA7C25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667B06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12BDBC6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6437CC7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038" w:type="dxa"/>
            <w:vAlign w:val="top"/>
          </w:tcPr>
          <w:p w14:paraId="529CB72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01ED359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注：1.制造商为小型或微型企业时才需要填“制造商企业类型”栏,填写内容为“小型”或“微型”；</w:t>
      </w:r>
    </w:p>
    <w:p w14:paraId="3CF4B4A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2.“节能产品、环境标志产品”须填写认证证书编号，并在对应“节能产品”、“环境标志产品”栏中勾选，同时提供有效期内的证书复印件（加盖投标人公章）</w:t>
      </w:r>
    </w:p>
    <w:p w14:paraId="5F79B48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投标人名称（盖章）：__________________</w:t>
      </w:r>
    </w:p>
    <w:p w14:paraId="01022CC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日期： 年 月 日</w:t>
      </w:r>
    </w:p>
    <w:p w14:paraId="7079D75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B52259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8DEC89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A3D526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A4DBEF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DF4765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6EB122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E41D1F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14AF11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B9BA80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格式五：关于符合本国产品标准的声明函等有关证明文件（如适用）</w:t>
      </w:r>
    </w:p>
    <w:p w14:paraId="29AEDC4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w:t>
      </w:r>
    </w:p>
    <w:p w14:paraId="24C64BBC">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供应商提供本国产品应符合《国务院办公厅关于在政府采购中实施本国产品标准及相关政策的通知》（国办发〔2025〕34号），在投标文件中出具《关于符合本国产品标准的声明函》或财政部会同有关部门规定的有关证明文件；当采购项目或者采购包中含有多种产品的，供应商还应当提供《关于本国产品比例的承诺函》（见下附件3，格式内容仅供参考）</w:t>
      </w:r>
    </w:p>
    <w:p w14:paraId="560B213F">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供应商提供虚假《声明函》、虚假证明文件谋取中标、成交的，依照政府采购法律法规规定追究相应责任。</w:t>
      </w:r>
    </w:p>
    <w:p w14:paraId="2FE3DB4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2B31E1C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7B98273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089432F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6AB45E5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4C3D7C4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附件1</w:t>
      </w:r>
    </w:p>
    <w:p w14:paraId="692840CC">
      <w:pPr>
        <w:pStyle w:val="174"/>
        <w:keepNext w:val="0"/>
        <w:keepLines w:val="0"/>
        <w:pageBreakBefore w:val="0"/>
        <w:shd w:val="clear"/>
        <w:kinsoku/>
        <w:wordWrap/>
        <w:overflowPunct/>
        <w:topLinePunct w:val="0"/>
        <w:autoSpaceDE/>
        <w:autoSpaceDN/>
        <w:bidi w:val="0"/>
        <w:adjustRightInd/>
        <w:snapToGrid/>
        <w:spacing w:before="120" w:after="240"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中国境内生产的组件成本核算基本规则</w:t>
      </w:r>
    </w:p>
    <w:p w14:paraId="6F7C472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产品在中国境内生产的组件成本，一般按照其二级组件的相关成本进行核算。按照产品的一级组件进行成本核算能够满足中国境内生产的组件成本判定需求的，可以按照一级组件的相关成本进行核算。</w:t>
      </w:r>
    </w:p>
    <w:p w14:paraId="555EDAD5">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产品的一级组件是指直接组成产品的组件。产品的二级组件是指直接组成产品一级组件的组件。一级组件不可分解的，视同二级组件。</w:t>
      </w:r>
    </w:p>
    <w:p w14:paraId="6E82E612">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二级组件在中国境内生产的，其全部成本计入中国境内生产的组件成本；二级组件不在中国境内生产的，其成本不计入中国境内生产的组件成本。</w:t>
      </w:r>
    </w:p>
    <w:p w14:paraId="7D5567BA">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产品总成本和组件成本以相关会计核算数据、采购合同、进货记录等为基础进行计算。</w:t>
      </w:r>
    </w:p>
    <w:p w14:paraId="3D470070">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需要对成本核算规则予以进一步明确的其他有关事项，由财政部会同有关部门另行规定。</w:t>
      </w:r>
    </w:p>
    <w:p w14:paraId="51E5AE4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34D4472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4F66D4F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0C71B3D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24E68DF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2C90222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附件2</w:t>
      </w:r>
    </w:p>
    <w:p w14:paraId="5A417AAF">
      <w:pPr>
        <w:pStyle w:val="174"/>
        <w:keepNext w:val="0"/>
        <w:keepLines w:val="0"/>
        <w:pageBreakBefore w:val="0"/>
        <w:shd w:val="clear"/>
        <w:kinsoku/>
        <w:wordWrap/>
        <w:overflowPunct/>
        <w:topLinePunct w:val="0"/>
        <w:autoSpaceDE/>
        <w:autoSpaceDN/>
        <w:bidi w:val="0"/>
        <w:adjustRightInd/>
        <w:snapToGrid/>
        <w:spacing w:before="120" w:after="240"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关于符合本国产品标准的声明函</w:t>
      </w:r>
    </w:p>
    <w:p w14:paraId="0807FB0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本公司（单位）郑重声明，根据《国务院办公厅关于在政府采购中实施本国产品标准及相关政策的通知》（国办发〔2025〕34号）的规定，本公司（单位）提供的以下产品属于本国产品。具体情况如下：</w:t>
      </w:r>
    </w:p>
    <w:p w14:paraId="724E6CC4">
      <w:pPr>
        <w:pStyle w:val="174"/>
        <w:keepNext w:val="0"/>
        <w:keepLines w:val="0"/>
        <w:pageBreakBefore w:val="0"/>
        <w:shd w:val="clear"/>
        <w:kinsoku/>
        <w:wordWrap/>
        <w:overflowPunct/>
        <w:topLinePunct w:val="0"/>
        <w:autoSpaceDE/>
        <w:autoSpaceDN/>
        <w:bidi w:val="0"/>
        <w:adjustRightInd/>
        <w:snapToGrid/>
        <w:spacing w:before="240" w:after="240" w:line="360" w:lineRule="auto"/>
        <w:ind w:firstLine="96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，生产厂为</w:t>
      </w:r>
      <w:r>
        <w:rPr>
          <w:rFonts w:hint="eastAsia" w:ascii="宋体" w:hAnsi="宋体" w:eastAsia="宋体" w:cs="宋体"/>
          <w:color w:val="auto"/>
          <w:sz w:val="21"/>
          <w:szCs w:val="21"/>
          <w:highlight w:val="none"/>
          <w:u w:val="single"/>
        </w:rPr>
        <w:t>（厂名）</w:t>
      </w:r>
      <w:r>
        <w:rPr>
          <w:rFonts w:hint="eastAsia" w:ascii="宋体" w:hAnsi="宋体" w:eastAsia="宋体" w:cs="宋体"/>
          <w:color w:val="auto"/>
          <w:sz w:val="21"/>
          <w:szCs w:val="21"/>
          <w:highlight w:val="none"/>
        </w:rPr>
        <w:t>，厂址为</w:t>
      </w:r>
      <w:r>
        <w:rPr>
          <w:rFonts w:hint="eastAsia" w:ascii="宋体" w:hAnsi="宋体" w:eastAsia="宋体" w:cs="宋体"/>
          <w:color w:val="auto"/>
          <w:sz w:val="21"/>
          <w:szCs w:val="21"/>
          <w:highlight w:val="none"/>
          <w:u w:val="single"/>
        </w:rPr>
        <w:t>（生产厂址）</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的中国境内生产的组件成本占比≥</w:t>
      </w:r>
      <w:r>
        <w:rPr>
          <w:rFonts w:hint="eastAsia" w:ascii="宋体" w:hAnsi="宋体" w:eastAsia="宋体" w:cs="宋体"/>
          <w:color w:val="auto"/>
          <w:sz w:val="21"/>
          <w:szCs w:val="21"/>
          <w:highlight w:val="none"/>
          <w:u w:val="single"/>
        </w:rPr>
        <w:t>（规定比例）</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（关键组件）</w:t>
      </w:r>
      <w:r>
        <w:rPr>
          <w:rFonts w:hint="eastAsia" w:ascii="宋体" w:hAnsi="宋体" w:eastAsia="宋体" w:cs="宋体"/>
          <w:color w:val="auto"/>
          <w:sz w:val="21"/>
          <w:szCs w:val="21"/>
          <w:highlight w:val="none"/>
        </w:rPr>
        <w:t xml:space="preserve">在中国境内生产。 </w:t>
      </w:r>
      <w:r>
        <w:rPr>
          <w:rFonts w:hint="eastAsia" w:ascii="宋体" w:hAnsi="宋体" w:eastAsia="宋体" w:cs="宋体"/>
          <w:color w:val="auto"/>
          <w:sz w:val="21"/>
          <w:szCs w:val="21"/>
          <w:highlight w:val="none"/>
          <w:u w:val="single"/>
        </w:rPr>
        <w:t>（产品名称1）</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（关键工序）</w:t>
      </w:r>
      <w:r>
        <w:rPr>
          <w:rFonts w:hint="eastAsia" w:ascii="宋体" w:hAnsi="宋体" w:eastAsia="宋体" w:cs="宋体"/>
          <w:color w:val="auto"/>
          <w:sz w:val="21"/>
          <w:szCs w:val="21"/>
          <w:highlight w:val="none"/>
        </w:rPr>
        <w:t>在中国境内完成。</w:t>
      </w:r>
    </w:p>
    <w:p w14:paraId="7CA04A87">
      <w:pPr>
        <w:pStyle w:val="174"/>
        <w:keepNext w:val="0"/>
        <w:keepLines w:val="0"/>
        <w:pageBreakBefore w:val="0"/>
        <w:shd w:val="clear"/>
        <w:kinsoku/>
        <w:wordWrap/>
        <w:overflowPunct/>
        <w:topLinePunct w:val="0"/>
        <w:autoSpaceDE/>
        <w:autoSpaceDN/>
        <w:bidi w:val="0"/>
        <w:adjustRightInd/>
        <w:snapToGrid/>
        <w:spacing w:before="240" w:after="240" w:line="360" w:lineRule="auto"/>
        <w:ind w:firstLine="96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，生产厂为</w:t>
      </w:r>
      <w:r>
        <w:rPr>
          <w:rFonts w:hint="eastAsia" w:ascii="宋体" w:hAnsi="宋体" w:eastAsia="宋体" w:cs="宋体"/>
          <w:color w:val="auto"/>
          <w:sz w:val="21"/>
          <w:szCs w:val="21"/>
          <w:highlight w:val="none"/>
          <w:u w:val="single"/>
        </w:rPr>
        <w:t>（厂名）</w:t>
      </w:r>
      <w:r>
        <w:rPr>
          <w:rFonts w:hint="eastAsia" w:ascii="宋体" w:hAnsi="宋体" w:eastAsia="宋体" w:cs="宋体"/>
          <w:color w:val="auto"/>
          <w:sz w:val="21"/>
          <w:szCs w:val="21"/>
          <w:highlight w:val="none"/>
        </w:rPr>
        <w:t>，厂址为</w:t>
      </w:r>
      <w:r>
        <w:rPr>
          <w:rFonts w:hint="eastAsia" w:ascii="宋体" w:hAnsi="宋体" w:eastAsia="宋体" w:cs="宋体"/>
          <w:color w:val="auto"/>
          <w:sz w:val="21"/>
          <w:szCs w:val="21"/>
          <w:highlight w:val="none"/>
          <w:u w:val="single"/>
        </w:rPr>
        <w:t>（生产厂址）</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的中国境内生产的组件成本占比≥</w:t>
      </w:r>
      <w:r>
        <w:rPr>
          <w:rFonts w:hint="eastAsia" w:ascii="宋体" w:hAnsi="宋体" w:eastAsia="宋体" w:cs="宋体"/>
          <w:color w:val="auto"/>
          <w:sz w:val="21"/>
          <w:szCs w:val="21"/>
          <w:highlight w:val="none"/>
          <w:u w:val="single"/>
        </w:rPr>
        <w:t>（规定比例）</w:t>
      </w: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（关键组件）</w:t>
      </w:r>
      <w:r>
        <w:rPr>
          <w:rFonts w:hint="eastAsia" w:ascii="宋体" w:hAnsi="宋体" w:eastAsia="宋体" w:cs="宋体"/>
          <w:color w:val="auto"/>
          <w:sz w:val="21"/>
          <w:szCs w:val="21"/>
          <w:highlight w:val="none"/>
        </w:rPr>
        <w:t xml:space="preserve">在中国境内生产。 </w:t>
      </w:r>
      <w:r>
        <w:rPr>
          <w:rFonts w:hint="eastAsia" w:ascii="宋体" w:hAnsi="宋体" w:eastAsia="宋体" w:cs="宋体"/>
          <w:color w:val="auto"/>
          <w:sz w:val="21"/>
          <w:szCs w:val="21"/>
          <w:highlight w:val="none"/>
          <w:u w:val="single"/>
        </w:rPr>
        <w:t>（产品名称2）</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（关键工序）</w:t>
      </w:r>
      <w:r>
        <w:rPr>
          <w:rFonts w:hint="eastAsia" w:ascii="宋体" w:hAnsi="宋体" w:eastAsia="宋体" w:cs="宋体"/>
          <w:color w:val="auto"/>
          <w:sz w:val="21"/>
          <w:szCs w:val="21"/>
          <w:highlight w:val="none"/>
        </w:rPr>
        <w:t>在中国境内完成。</w:t>
      </w:r>
    </w:p>
    <w:p w14:paraId="21A4EC71">
      <w:pPr>
        <w:pStyle w:val="174"/>
        <w:keepNext w:val="0"/>
        <w:keepLines w:val="0"/>
        <w:pageBreakBefore w:val="0"/>
        <w:shd w:val="clear"/>
        <w:kinsoku/>
        <w:wordWrap/>
        <w:overflowPunct/>
        <w:topLinePunct w:val="0"/>
        <w:autoSpaceDE/>
        <w:autoSpaceDN/>
        <w:bidi w:val="0"/>
        <w:adjustRightInd/>
        <w:snapToGrid/>
        <w:spacing w:before="240" w:after="240" w:line="360" w:lineRule="auto"/>
        <w:ind w:firstLine="96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w:t>
      </w:r>
    </w:p>
    <w:p w14:paraId="0204E61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本公司（单位）对上述声明内容的真实性负责。如有虚假，愿承担相应法律责任。</w:t>
      </w:r>
    </w:p>
    <w:p w14:paraId="2F42D20E">
      <w:pPr>
        <w:pStyle w:val="174"/>
        <w:keepNext w:val="0"/>
        <w:keepLines w:val="0"/>
        <w:pageBreakBefore w:val="0"/>
        <w:shd w:val="clear"/>
        <w:kinsoku/>
        <w:wordWrap/>
        <w:overflowPunct/>
        <w:topLinePunct w:val="0"/>
        <w:autoSpaceDE/>
        <w:autoSpaceDN/>
        <w:bidi w:val="0"/>
        <w:adjustRightInd/>
        <w:snapToGrid/>
        <w:spacing w:before="720" w:line="360" w:lineRule="auto"/>
        <w:jc w:val="righ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公司（单位）名称（盖章）：</w:t>
      </w:r>
      <w:r>
        <w:rPr>
          <w:rFonts w:hint="eastAsia" w:ascii="宋体" w:hAnsi="宋体" w:eastAsia="宋体" w:cs="宋体"/>
          <w:color w:val="auto"/>
          <w:sz w:val="21"/>
          <w:szCs w:val="21"/>
          <w:highlight w:val="none"/>
        </w:rPr>
        <w:t xml:space="preserve"> __________________</w:t>
      </w:r>
    </w:p>
    <w:p w14:paraId="13727404">
      <w:pPr>
        <w:pStyle w:val="174"/>
        <w:keepNext w:val="0"/>
        <w:keepLines w:val="0"/>
        <w:pageBreakBefore w:val="0"/>
        <w:shd w:val="clear"/>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日期：</w:t>
      </w:r>
      <w:r>
        <w:rPr>
          <w:rFonts w:hint="eastAsia" w:ascii="宋体" w:hAnsi="宋体" w:eastAsia="宋体" w:cs="宋体"/>
          <w:color w:val="auto"/>
          <w:sz w:val="21"/>
          <w:szCs w:val="21"/>
          <w:highlight w:val="none"/>
        </w:rPr>
        <w:t xml:space="preserve"> ______ 年 ______ 月 ______ 日</w:t>
      </w:r>
    </w:p>
    <w:p w14:paraId="2B5FF3F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注：</w:t>
      </w:r>
    </w:p>
    <w:p w14:paraId="70756702">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产品如有型号，请在“产品名称”栏一并填写。</w:t>
      </w:r>
    </w:p>
    <w:p w14:paraId="054B8F90">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生产厂名与厂址应与生产厂营业执照载明的相关信息保持一致。</w:t>
      </w:r>
    </w:p>
    <w:p w14:paraId="1DA666FD">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该产品的中国境内生产的组件成本占比相关要求实施前，"规定比例"栏可不填，下同。</w:t>
      </w:r>
    </w:p>
    <w:p w14:paraId="7961092A">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该产品的关键组件要求实施前，"关键组件"栏可不填，下同。</w:t>
      </w:r>
    </w:p>
    <w:p w14:paraId="54854190">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 该产品的关键工序要求实施前，"关键工序"栏可不填，下同。</w:t>
      </w:r>
    </w:p>
    <w:p w14:paraId="00CDD3F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7F8CE31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797D65A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3C55A30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7F9F0F0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4EBEACE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附件3（当采购项目或者采购包中含有多种产品的，供应商还应当提供本承诺函，格式内容仅供参考）</w:t>
      </w:r>
    </w:p>
    <w:p w14:paraId="1328A733">
      <w:pPr>
        <w:pStyle w:val="174"/>
        <w:keepNext w:val="0"/>
        <w:keepLines w:val="0"/>
        <w:pageBreakBefore w:val="0"/>
        <w:shd w:val="clear"/>
        <w:kinsoku/>
        <w:wordWrap/>
        <w:overflowPunct/>
        <w:topLinePunct w:val="0"/>
        <w:autoSpaceDE/>
        <w:autoSpaceDN/>
        <w:bidi w:val="0"/>
        <w:adjustRightInd/>
        <w:snapToGrid/>
        <w:spacing w:before="120" w:after="240"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关于本国产品比例的承诺函（如适用）</w:t>
      </w:r>
    </w:p>
    <w:p w14:paraId="68E901EE">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郑重承诺，根据《国务院办公厅关于在政府采购中实施本国产品标准及相关政策的通知》（国办发〔2025〕34号）的规定，本公司（单位）提供的符合本国产品标准的产品成本之和占提供的全部产品成本之和的比例达到80%以上。</w:t>
      </w:r>
    </w:p>
    <w:p w14:paraId="43BDE0CE">
      <w:pPr>
        <w:pStyle w:val="174"/>
        <w:keepNext w:val="0"/>
        <w:keepLines w:val="0"/>
        <w:pageBreakBefore w:val="0"/>
        <w:shd w:val="clear"/>
        <w:kinsoku/>
        <w:wordWrap/>
        <w:overflowPunct/>
        <w:topLinePunct w:val="0"/>
        <w:autoSpaceDE/>
        <w:autoSpaceDN/>
        <w:bidi w:val="0"/>
        <w:adjustRightInd/>
        <w:snapToGrid/>
        <w:spacing w:line="360" w:lineRule="auto"/>
        <w:ind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本公司（单位）对上述承诺内容的真实性负责。如有虚假，愿承担相应法律责任。</w:t>
      </w:r>
    </w:p>
    <w:p w14:paraId="063C4090">
      <w:pPr>
        <w:pStyle w:val="174"/>
        <w:keepNext w:val="0"/>
        <w:keepLines w:val="0"/>
        <w:pageBreakBefore w:val="0"/>
        <w:shd w:val="clear"/>
        <w:kinsoku/>
        <w:wordWrap/>
        <w:overflowPunct/>
        <w:topLinePunct w:val="0"/>
        <w:autoSpaceDE/>
        <w:autoSpaceDN/>
        <w:bidi w:val="0"/>
        <w:adjustRightInd/>
        <w:snapToGrid/>
        <w:spacing w:before="720" w:line="360" w:lineRule="auto"/>
        <w:jc w:val="right"/>
        <w:textAlignment w:val="auto"/>
        <w:rPr>
          <w:rFonts w:hint="eastAsia" w:ascii="宋体" w:hAnsi="宋体" w:eastAsia="宋体" w:cs="宋体"/>
          <w:b/>
          <w:color w:val="auto"/>
          <w:sz w:val="21"/>
          <w:szCs w:val="21"/>
          <w:highlight w:val="none"/>
        </w:rPr>
      </w:pPr>
    </w:p>
    <w:p w14:paraId="3B00FC25">
      <w:pPr>
        <w:pStyle w:val="174"/>
        <w:keepNext w:val="0"/>
        <w:keepLines w:val="0"/>
        <w:pageBreakBefore w:val="0"/>
        <w:shd w:val="clear"/>
        <w:kinsoku/>
        <w:wordWrap/>
        <w:overflowPunct/>
        <w:topLinePunct w:val="0"/>
        <w:autoSpaceDE/>
        <w:autoSpaceDN/>
        <w:bidi w:val="0"/>
        <w:adjustRightInd/>
        <w:snapToGrid/>
        <w:spacing w:before="720" w:line="360" w:lineRule="auto"/>
        <w:jc w:val="righ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公司（单位）名称（盖章）：</w:t>
      </w:r>
      <w:r>
        <w:rPr>
          <w:rFonts w:hint="eastAsia" w:ascii="宋体" w:hAnsi="宋体" w:eastAsia="宋体" w:cs="宋体"/>
          <w:color w:val="auto"/>
          <w:sz w:val="21"/>
          <w:szCs w:val="21"/>
          <w:highlight w:val="none"/>
        </w:rPr>
        <w:t>__________________</w:t>
      </w:r>
    </w:p>
    <w:p w14:paraId="200B4201">
      <w:pPr>
        <w:pStyle w:val="174"/>
        <w:keepNext w:val="0"/>
        <w:keepLines w:val="0"/>
        <w:pageBreakBefore w:val="0"/>
        <w:shd w:val="clear"/>
        <w:kinsoku/>
        <w:wordWrap/>
        <w:overflowPunct/>
        <w:topLinePunct w:val="0"/>
        <w:autoSpaceDE/>
        <w:autoSpaceDN/>
        <w:bidi w:val="0"/>
        <w:adjustRightInd/>
        <w:snapToGrid/>
        <w:spacing w:line="360" w:lineRule="auto"/>
        <w:jc w:val="right"/>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日期：</w:t>
      </w:r>
      <w:r>
        <w:rPr>
          <w:rFonts w:hint="eastAsia" w:ascii="宋体" w:hAnsi="宋体" w:eastAsia="宋体" w:cs="宋体"/>
          <w:color w:val="auto"/>
          <w:sz w:val="21"/>
          <w:szCs w:val="21"/>
          <w:highlight w:val="none"/>
        </w:rPr>
        <w:t>______ 年 ______ 月 ______ 日</w:t>
      </w:r>
    </w:p>
    <w:p w14:paraId="4FE752F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57C06D7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27C46F0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4854AFF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62AAC45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1924716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03BDC21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5F02CE9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0F5B8D7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5325EA5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2103C7F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660F161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4F2CA7D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37C4A41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0EBCF0A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5819E4B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386386B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6BC7FA0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295109E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b/>
          <w:color w:val="auto"/>
          <w:sz w:val="21"/>
          <w:szCs w:val="21"/>
          <w:highlight w:val="none"/>
        </w:rPr>
      </w:pPr>
    </w:p>
    <w:p w14:paraId="37737ED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附件4</w:t>
      </w:r>
    </w:p>
    <w:p w14:paraId="3EB8E87F">
      <w:pPr>
        <w:pStyle w:val="174"/>
        <w:keepNext w:val="0"/>
        <w:keepLines w:val="0"/>
        <w:pageBreakBefore w:val="0"/>
        <w:shd w:val="clear"/>
        <w:kinsoku/>
        <w:wordWrap/>
        <w:overflowPunct/>
        <w:topLinePunct w:val="0"/>
        <w:autoSpaceDE/>
        <w:autoSpaceDN/>
        <w:bidi w:val="0"/>
        <w:adjustRightInd/>
        <w:snapToGrid/>
        <w:spacing w:before="120" w:after="240"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本国产品标准有关证明材料（如适用）</w:t>
      </w:r>
    </w:p>
    <w:p w14:paraId="4A0B93DC">
      <w:pPr>
        <w:pStyle w:val="174"/>
        <w:keepNext w:val="0"/>
        <w:keepLines w:val="0"/>
        <w:pageBreakBefore w:val="0"/>
        <w:shd w:val="clear"/>
        <w:kinsoku/>
        <w:wordWrap/>
        <w:overflowPunct/>
        <w:topLinePunct w:val="0"/>
        <w:autoSpaceDE/>
        <w:autoSpaceDN/>
        <w:bidi w:val="0"/>
        <w:adjustRightInd/>
        <w:snapToGrid/>
        <w:spacing w:before="120" w:after="120" w:line="360" w:lineRule="auto"/>
        <w:ind w:firstLine="960"/>
        <w:textAlignment w:val="auto"/>
        <w:rPr>
          <w:rFonts w:hint="eastAsia" w:ascii="宋体" w:hAnsi="宋体" w:eastAsia="宋体" w:cs="宋体"/>
          <w:color w:val="auto"/>
          <w:sz w:val="21"/>
          <w:szCs w:val="21"/>
          <w:highlight w:val="none"/>
        </w:rPr>
      </w:pPr>
    </w:p>
    <w:p w14:paraId="4AF76FDD">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供应商认为需提供的其他资料。</w:t>
      </w:r>
    </w:p>
    <w:p w14:paraId="610A9504">
      <w:pPr>
        <w:pStyle w:val="174"/>
        <w:keepNext w:val="0"/>
        <w:keepLines w:val="0"/>
        <w:pageBreakBefore w:val="0"/>
        <w:shd w:val="clear"/>
        <w:kinsoku/>
        <w:wordWrap/>
        <w:overflowPunct/>
        <w:topLinePunct w:val="0"/>
        <w:autoSpaceDE/>
        <w:autoSpaceDN/>
        <w:bidi w:val="0"/>
        <w:adjustRightInd/>
        <w:snapToGrid/>
        <w:spacing w:before="120" w:after="120"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财政部会同有关部门规定的有关证明文件。</w:t>
      </w:r>
    </w:p>
    <w:p w14:paraId="001F5FA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71C2858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782482F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33216AA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2A203A9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397BDDC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7DEECC4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6A8870A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32AF259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1810D04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09E9632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64AA298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5FEB1E4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231490A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71BA182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36D5BF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3C51E0F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484F3DB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6601FB6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48CFEFA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3875AF1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0E8446E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72FE9B8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657B0D7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6662A5B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42FD036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6AF780B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b/>
          <w:color w:val="auto"/>
          <w:sz w:val="21"/>
          <w:szCs w:val="21"/>
          <w:highlight w:val="none"/>
        </w:rPr>
      </w:pPr>
    </w:p>
    <w:p w14:paraId="73E1B12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格式六：</w:t>
      </w:r>
    </w:p>
    <w:p w14:paraId="17E8601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（投标人可使用下述格式，也可使用广东省工商行政管理局统一印制的法定代表人证明书格式）</w:t>
      </w:r>
    </w:p>
    <w:p w14:paraId="1EF3D3E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8"/>
          <w:szCs w:val="28"/>
          <w:highlight w:val="none"/>
          <w:lang w:eastAsia="zh-CN"/>
        </w:rPr>
        <w:t>法定代表人（负责人）</w:t>
      </w:r>
      <w:r>
        <w:rPr>
          <w:rFonts w:hint="eastAsia" w:ascii="宋体" w:hAnsi="宋体" w:eastAsia="宋体" w:cs="宋体"/>
          <w:b/>
          <w:color w:val="auto"/>
          <w:sz w:val="28"/>
          <w:szCs w:val="28"/>
          <w:highlight w:val="none"/>
        </w:rPr>
        <w:t>证明书</w:t>
      </w:r>
    </w:p>
    <w:p w14:paraId="5572478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_____________现任我单位_____________职务，为</w:t>
      </w:r>
      <w:r>
        <w:rPr>
          <w:rFonts w:hint="eastAsia" w:ascii="宋体" w:hAnsi="宋体" w:eastAsia="宋体" w:cs="宋体"/>
          <w:color w:val="auto"/>
          <w:sz w:val="21"/>
          <w:szCs w:val="21"/>
          <w:highlight w:val="none"/>
          <w:lang w:eastAsia="zh-CN"/>
        </w:rPr>
        <w:t>法定代表人（负责人）</w:t>
      </w:r>
      <w:r>
        <w:rPr>
          <w:rFonts w:hint="eastAsia" w:ascii="宋体" w:hAnsi="宋体" w:eastAsia="宋体" w:cs="宋体"/>
          <w:color w:val="auto"/>
          <w:sz w:val="21"/>
          <w:szCs w:val="21"/>
          <w:highlight w:val="none"/>
        </w:rPr>
        <w:t>，特此证明。</w:t>
      </w:r>
    </w:p>
    <w:p w14:paraId="60315CB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有效期限：__________________</w:t>
      </w:r>
    </w:p>
    <w:p w14:paraId="6459E46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附：代表人性别：_____年龄：_________ 身份证号码：__________________</w:t>
      </w:r>
    </w:p>
    <w:p w14:paraId="1ACFCA8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注册号码：____________________企业类型：____________________________</w:t>
      </w:r>
    </w:p>
    <w:p w14:paraId="57C2B25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经营范围：__________________________</w:t>
      </w:r>
    </w:p>
    <w:p w14:paraId="092DBC5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投标人名称（盖章）：__________________</w:t>
      </w:r>
    </w:p>
    <w:p w14:paraId="10D354C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地址：__________________</w:t>
      </w:r>
    </w:p>
    <w:p w14:paraId="2A1BDA8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法定代表人（负责人）</w:t>
      </w:r>
      <w:r>
        <w:rPr>
          <w:rFonts w:hint="eastAsia" w:ascii="宋体" w:hAnsi="宋体" w:eastAsia="宋体" w:cs="宋体"/>
          <w:color w:val="auto"/>
          <w:sz w:val="21"/>
          <w:szCs w:val="21"/>
          <w:highlight w:val="none"/>
        </w:rPr>
        <w:t>（签字或盖章）：__________________</w:t>
      </w:r>
    </w:p>
    <w:p w14:paraId="2BAB97E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职务：__________________</w:t>
      </w:r>
    </w:p>
    <w:p w14:paraId="751FC1D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64A542A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53C59251">
      <w:pPr>
        <w:shd w:val="clear"/>
        <w:spacing w:line="480" w:lineRule="exact"/>
        <w:rPr>
          <w:rFonts w:hint="eastAsia" w:ascii="宋体" w:hAnsi="宋体" w:eastAsia="宋体" w:cs="宋体"/>
          <w:color w:val="auto"/>
          <w:highlight w:val="none"/>
        </w:rPr>
      </w:pPr>
      <w:r>
        <w:rPr>
          <w:rFonts w:hint="eastAsia" w:ascii="宋体" w:hAnsi="宋体" w:eastAsia="宋体" w:cs="宋体"/>
          <w:color w:val="auto"/>
          <w:highlight w:val="none"/>
        </w:rPr>
        <w:t>说明： 内容必须填写真实、清楚，涂改无效，不得转让、买卖。</w:t>
      </w:r>
    </w:p>
    <w:p w14:paraId="03AA5191">
      <w:pPr>
        <w:shd w:val="clear"/>
        <w:spacing w:line="480" w:lineRule="exact"/>
        <w:ind w:firstLine="420" w:firstLineChars="200"/>
        <w:rPr>
          <w:rFonts w:hint="eastAsia" w:ascii="宋体" w:hAnsi="宋体" w:eastAsia="宋体" w:cs="宋体"/>
          <w:color w:val="auto"/>
          <w:highlight w:val="none"/>
        </w:rPr>
      </w:pPr>
    </w:p>
    <w:p w14:paraId="033D00DE">
      <w:pPr>
        <w:pStyle w:val="15"/>
        <w:shd w:val="clear"/>
        <w:rPr>
          <w:rFonts w:hint="eastAsia" w:ascii="宋体" w:hAnsi="宋体" w:eastAsia="宋体" w:cs="宋体"/>
          <w:color w:val="auto"/>
          <w:sz w:val="21"/>
          <w:highlight w:val="none"/>
        </w:rPr>
      </w:pPr>
    </w:p>
    <w:p w14:paraId="3B3AC4AB">
      <w:pPr>
        <w:pStyle w:val="15"/>
        <w:shd w:val="clear"/>
        <w:rPr>
          <w:rFonts w:hint="eastAsia" w:ascii="宋体" w:hAnsi="宋体" w:eastAsia="宋体" w:cs="宋体"/>
          <w:color w:val="auto"/>
          <w:highlight w:val="none"/>
        </w:rPr>
        <w:sectPr>
          <w:headerReference r:id="rId5" w:type="first"/>
          <w:footerReference r:id="rId7" w:type="first"/>
          <w:footerReference r:id="rId6" w:type="default"/>
          <w:pgSz w:w="11906" w:h="16838"/>
          <w:pgMar w:top="1474" w:right="1418" w:bottom="1474" w:left="1418" w:header="851" w:footer="851" w:gutter="0"/>
          <w:cols w:space="720" w:num="1"/>
          <w:titlePg/>
          <w:docGrid w:linePitch="312" w:charSpace="0"/>
        </w:sectPr>
      </w:pPr>
      <w:r>
        <w:rPr>
          <w:rFonts w:hint="eastAsia" w:ascii="宋体" w:hAnsi="宋体" w:eastAsia="宋体" w:cs="宋体"/>
          <w:color w:val="auto"/>
          <w:highlight w:val="none"/>
        </w:rPr>
        <mc:AlternateContent>
          <mc:Choice Requires="wps">
            <w:drawing>
              <wp:anchor distT="0" distB="0" distL="114300" distR="114300" simplePos="0" relativeHeight="251659264" behindDoc="0" locked="0" layoutInCell="1" allowOverlap="1">
                <wp:simplePos x="0" y="0"/>
                <wp:positionH relativeFrom="column">
                  <wp:posOffset>318770</wp:posOffset>
                </wp:positionH>
                <wp:positionV relativeFrom="paragraph">
                  <wp:posOffset>346710</wp:posOffset>
                </wp:positionV>
                <wp:extent cx="4933950" cy="2294255"/>
                <wp:effectExtent l="4445" t="5080" r="14605" b="5715"/>
                <wp:wrapNone/>
                <wp:docPr id="3"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25.1pt;margin-top:27.3pt;height:180.65pt;width:388.5pt;z-index:251659264;mso-width-relative:page;mso-height-relative:page;" fillcolor="#FFFFFF" filled="t" stroked="t" coordsize="21600,21600" o:gfxdata="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">
                <v:fill on="t" focussize="0,0"/>
                <v:stroke color="#000000" miterlimit="8" joinstyle="miter"/>
                <v:imagedata o:title=""/>
                <o:lock v:ext="edit" aspectratio="f"/>
                <v:textbox>
                  <w:txbxContent>
                    <w:p w14:paraId="58FD5143"/>
                    <w:p w14:paraId="2A756232"/>
                    <w:p w14:paraId="14D61E7B">
                      <w:pPr>
                        <w:jc w:val="center"/>
                      </w:pPr>
                      <w:r>
                        <w:rPr>
                          <w:rFonts w:hint="eastAsia" w:asciiTheme="minorEastAsia" w:hAnsiTheme="minorEastAsia" w:eastAsiaTheme="minorEastAsia" w:cstheme="minorEastAsia"/>
                          <w:sz w:val="21"/>
                          <w:szCs w:val="21"/>
                        </w:rPr>
                        <w:t>法定代表人</w:t>
                      </w:r>
                      <w:r>
                        <w:rPr>
                          <w:rFonts w:hint="eastAsia"/>
                        </w:rPr>
                        <w:t>身份证正反面复印件</w:t>
                      </w:r>
                    </w:p>
                  </w:txbxContent>
                </v:textbox>
              </v:shape>
            </w:pict>
          </mc:Fallback>
        </mc:AlternateContent>
      </w:r>
    </w:p>
    <w:p w14:paraId="50E9449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格式七：</w:t>
      </w:r>
    </w:p>
    <w:p w14:paraId="09A847A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lang w:eastAsia="zh-CN"/>
        </w:rPr>
        <w:t>法定代表人（负责人）</w:t>
      </w:r>
      <w:r>
        <w:rPr>
          <w:rFonts w:hint="eastAsia" w:ascii="宋体" w:hAnsi="宋体" w:eastAsia="宋体" w:cs="宋体"/>
          <w:b/>
          <w:color w:val="auto"/>
          <w:sz w:val="28"/>
          <w:szCs w:val="28"/>
          <w:highlight w:val="none"/>
        </w:rPr>
        <w:t>授权书格式</w:t>
      </w:r>
    </w:p>
    <w:p w14:paraId="6ECB4C8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（对于银行、保险、电信、邮政、铁路等行业以及获得总公司投标授权的分公司，可以提供投标分支机构负责人授权书）</w:t>
      </w:r>
    </w:p>
    <w:p w14:paraId="71BF3FC8">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lang w:eastAsia="zh-CN"/>
        </w:rPr>
        <w:t>法定代表人（负责人）</w:t>
      </w:r>
      <w:r>
        <w:rPr>
          <w:rFonts w:hint="eastAsia" w:ascii="宋体" w:hAnsi="宋体" w:eastAsia="宋体" w:cs="宋体"/>
          <w:b/>
          <w:color w:val="auto"/>
          <w:sz w:val="28"/>
          <w:szCs w:val="28"/>
          <w:highlight w:val="none"/>
        </w:rPr>
        <w:t>授权书</w:t>
      </w:r>
    </w:p>
    <w:p w14:paraId="58AD744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eastAsia="zh-CN"/>
        </w:rPr>
        <w:t>阳江市投源招标采购有限公司</w:t>
      </w:r>
    </w:p>
    <w:p w14:paraId="60FA6FD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本授权书声明：________是注册于 </w:t>
      </w:r>
      <w:r>
        <w:rPr>
          <w:rFonts w:hint="eastAsia" w:ascii="宋体" w:hAnsi="宋体" w:eastAsia="宋体" w:cs="宋体"/>
          <w:color w:val="auto"/>
          <w:sz w:val="21"/>
          <w:szCs w:val="21"/>
          <w:highlight w:val="none"/>
          <w:u w:val="single"/>
        </w:rPr>
        <w:t>（国家或地区）</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（投标人名称）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lang w:eastAsia="zh-CN"/>
        </w:rPr>
        <w:t>法定代表人（负责人）</w:t>
      </w:r>
      <w:r>
        <w:rPr>
          <w:rFonts w:hint="eastAsia" w:ascii="宋体" w:hAnsi="宋体" w:eastAsia="宋体" w:cs="宋体"/>
          <w:color w:val="auto"/>
          <w:sz w:val="21"/>
          <w:szCs w:val="21"/>
          <w:highlight w:val="none"/>
        </w:rPr>
        <w:t xml:space="preserve">，现任________职务，有效证件号码：________________。现授权 </w:t>
      </w:r>
      <w:r>
        <w:rPr>
          <w:rFonts w:hint="eastAsia" w:ascii="宋体" w:hAnsi="宋体" w:eastAsia="宋体" w:cs="宋体"/>
          <w:color w:val="auto"/>
          <w:sz w:val="21"/>
          <w:szCs w:val="21"/>
          <w:highlight w:val="none"/>
          <w:u w:val="single"/>
        </w:rPr>
        <w:t>（姓名、职务）</w:t>
      </w:r>
      <w:r>
        <w:rPr>
          <w:rFonts w:hint="eastAsia" w:ascii="宋体" w:hAnsi="宋体" w:eastAsia="宋体" w:cs="宋体"/>
          <w:color w:val="auto"/>
          <w:sz w:val="21"/>
          <w:szCs w:val="21"/>
          <w:highlight w:val="none"/>
        </w:rPr>
        <w:t xml:space="preserve"> 作为我公司的全权代理人，就“</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”项目采购[采购项目编号为</w:t>
      </w:r>
      <w:r>
        <w:rPr>
          <w:rFonts w:hint="eastAsia" w:ascii="宋体" w:hAnsi="宋体" w:eastAsia="宋体" w:cs="宋体"/>
          <w:color w:val="auto"/>
          <w:sz w:val="21"/>
          <w:szCs w:val="21"/>
          <w:highlight w:val="none"/>
          <w:lang w:eastAsia="zh-CN"/>
        </w:rPr>
        <w:t>YJYT20260929</w:t>
      </w:r>
      <w:r>
        <w:rPr>
          <w:rFonts w:hint="eastAsia" w:ascii="宋体" w:hAnsi="宋体" w:eastAsia="宋体" w:cs="宋体"/>
          <w:color w:val="auto"/>
          <w:sz w:val="21"/>
          <w:szCs w:val="21"/>
          <w:highlight w:val="none"/>
        </w:rPr>
        <w:t>]的投标和合同执行，以我方的名义处理一切与之有关的事宜。</w:t>
      </w:r>
    </w:p>
    <w:p w14:paraId="0A0A0D5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本授权书于________年________月________日签字生效，特此声明。</w:t>
      </w:r>
    </w:p>
    <w:p w14:paraId="4E51214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投标人（盖章）：__________________</w:t>
      </w:r>
    </w:p>
    <w:p w14:paraId="29615F8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地址：__________________</w:t>
      </w:r>
    </w:p>
    <w:p w14:paraId="4582433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r>
        <w:rPr>
          <w:rFonts w:hint="eastAsia" w:ascii="宋体" w:hAnsi="宋体" w:eastAsia="宋体" w:cs="宋体"/>
          <w:color w:val="auto"/>
          <w:sz w:val="21"/>
          <w:szCs w:val="21"/>
          <w:highlight w:val="none"/>
          <w:lang w:eastAsia="zh-CN"/>
        </w:rPr>
        <w:t>法定代表人（负责人）</w:t>
      </w:r>
      <w:r>
        <w:rPr>
          <w:rFonts w:hint="eastAsia" w:ascii="宋体" w:hAnsi="宋体" w:eastAsia="宋体" w:cs="宋体"/>
          <w:color w:val="auto"/>
          <w:sz w:val="21"/>
          <w:szCs w:val="21"/>
          <w:highlight w:val="none"/>
        </w:rPr>
        <w:t>（签字或盖章）：__________________</w:t>
      </w:r>
    </w:p>
    <w:p w14:paraId="4B9F6E1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职务：__________________</w:t>
      </w:r>
    </w:p>
    <w:p w14:paraId="1822B01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被授权人（签字或盖章）：__________________</w:t>
      </w:r>
    </w:p>
    <w:p w14:paraId="0375031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职务：__________________</w:t>
      </w:r>
    </w:p>
    <w:p w14:paraId="4A665BE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78B0494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13BAA14">
      <w:pPr>
        <w:shd w:val="clear"/>
        <w:rPr>
          <w:rFonts w:hint="eastAsia" w:ascii="宋体" w:hAnsi="宋体" w:eastAsia="宋体" w:cs="宋体"/>
          <w:b/>
          <w:color w:val="auto"/>
          <w:szCs w:val="21"/>
          <w:highlight w:val="none"/>
        </w:rPr>
      </w:pPr>
      <w:r>
        <w:rPr>
          <w:rFonts w:hint="eastAsia" w:ascii="宋体" w:hAnsi="宋体" w:eastAsia="宋体" w:cs="宋体"/>
          <w:b/>
          <w:color w:val="auto"/>
          <w:szCs w:val="21"/>
          <w:highlight w:val="none"/>
        </w:rPr>
        <w:t>（注：投标人的投标文件为法定代表人（负责人）签署并由法定代表人（负责人）亲自递交投标文件和参加开标会的，不须提供该委托书，但需提供法定代表人（负责人）证明书及法定代表人（负责人）的身份证复印件。）</w:t>
      </w:r>
    </w:p>
    <w:p w14:paraId="5115ED6F">
      <w:pPr>
        <w:shd w:val="clear"/>
        <w:rPr>
          <w:rFonts w:hint="eastAsia" w:ascii="宋体" w:hAnsi="宋体" w:eastAsia="宋体" w:cs="宋体"/>
          <w:color w:val="auto"/>
          <w:highlight w:val="none"/>
        </w:rPr>
      </w:pPr>
    </w:p>
    <w:p w14:paraId="15B53DA7">
      <w:pPr>
        <w:shd w:val="clear"/>
        <w:rPr>
          <w:rFonts w:hint="eastAsia" w:ascii="宋体" w:hAnsi="宋体" w:eastAsia="宋体" w:cs="宋体"/>
          <w:color w:val="auto"/>
          <w:highlight w:val="none"/>
        </w:rPr>
      </w:pPr>
      <w:r>
        <w:rPr>
          <w:rFonts w:hint="eastAsia" w:ascii="宋体" w:hAnsi="宋体" w:eastAsia="宋体" w:cs="宋体"/>
          <w:color w:val="auto"/>
          <w:highlight w:val="none"/>
        </w:rPr>
        <mc:AlternateContent>
          <mc:Choice Requires="wps">
            <w:drawing>
              <wp:anchor distT="0" distB="0" distL="114300" distR="114300" simplePos="0" relativeHeight="251660288" behindDoc="0" locked="0" layoutInCell="1" allowOverlap="1">
                <wp:simplePos x="0" y="0"/>
                <wp:positionH relativeFrom="column">
                  <wp:posOffset>210820</wp:posOffset>
                </wp:positionH>
                <wp:positionV relativeFrom="paragraph">
                  <wp:posOffset>1270</wp:posOffset>
                </wp:positionV>
                <wp:extent cx="4933950" cy="2294255"/>
                <wp:effectExtent l="4445" t="5080" r="14605" b="5715"/>
                <wp:wrapNone/>
                <wp:docPr id="4" name="自选图形 2"/>
                <wp:cNvGraphicFramePr/>
                <a:graphic xmlns:a="http://schemas.openxmlformats.org/drawingml/2006/main">
                  <a:graphicData uri="http://schemas.microsoft.com/office/word/2010/wordprocessingShape">
                    <wps:wsp>
                      <wps:cNvSpPr>
                        <a:spLocks noChangeArrowheads="1"/>
                      </wps:cNvSpPr>
                      <wps:spPr bwMode="auto">
                        <a:xfrm>
                          <a:off x="0" y="0"/>
                          <a:ext cx="4933950" cy="2294255"/>
                        </a:xfrm>
                        <a:prstGeom prst="flowChartAlternateProcess">
                          <a:avLst/>
                        </a:prstGeom>
                        <a:solidFill>
                          <a:srgbClr val="FFFFFF"/>
                        </a:solidFill>
                        <a:ln w="9525">
                          <a:solidFill>
                            <a:srgbClr val="000000"/>
                          </a:solidFill>
                          <a:miter lim="800000"/>
                        </a:ln>
                        <a:effectLst/>
                      </wps:spPr>
                      <wps:txb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wps:txbx>
                      <wps:bodyPr rot="0" vert="horz" wrap="square" lIns="91440" tIns="45720" rIns="91440" bIns="45720" anchor="t" anchorCtr="0" upright="1">
                        <a:noAutofit/>
                      </wps:bodyPr>
                    </wps:wsp>
                  </a:graphicData>
                </a:graphic>
              </wp:anchor>
            </w:drawing>
          </mc:Choice>
          <mc:Fallback>
            <w:pict>
              <v:shape id="自选图形 2" o:spid="_x0000_s1026" o:spt="176" type="#_x0000_t176" style="position:absolute;left:0pt;margin-left:16.6pt;margin-top:0.1pt;height:180.65pt;width:388.5pt;z-index:251660288;mso-width-relative:page;mso-height-relative:page;" fillcolor="#FFFFFF" filled="t" stroked="t" coordsize="21600,21600" o:gfxdata="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">
                <v:fill on="t" focussize="0,0"/>
                <v:stroke color="#000000" miterlimit="8" joinstyle="miter"/>
                <v:imagedata o:title=""/>
                <o:lock v:ext="edit" aspectratio="f"/>
                <v:textbox>
                  <w:txbxContent>
                    <w:p w14:paraId="7FC5D2BE"/>
                    <w:p w14:paraId="274E674B"/>
                    <w:p w14:paraId="5891A548">
                      <w:pPr>
                        <w:jc w:val="center"/>
                      </w:pPr>
                      <w:r>
                        <w:rPr>
                          <w:rFonts w:hint="eastAsia" w:asciiTheme="minorEastAsia" w:hAnsiTheme="minorEastAsia" w:eastAsiaTheme="minorEastAsia" w:cstheme="minorEastAsia"/>
                          <w:sz w:val="21"/>
                          <w:szCs w:val="21"/>
                        </w:rPr>
                        <w:t>授权</w:t>
                      </w:r>
                      <w:r>
                        <w:rPr>
                          <w:rFonts w:hint="eastAsia" w:asciiTheme="minorEastAsia" w:hAnsiTheme="minorEastAsia" w:eastAsiaTheme="minorEastAsia" w:cstheme="minorEastAsia"/>
                          <w:sz w:val="21"/>
                          <w:szCs w:val="21"/>
                          <w:lang w:val="en-US" w:eastAsia="zh-CN"/>
                        </w:rPr>
                        <w:t>人</w:t>
                      </w:r>
                      <w:r>
                        <w:rPr>
                          <w:rFonts w:hint="eastAsia"/>
                        </w:rPr>
                        <w:t>身份证正反面复印件</w:t>
                      </w:r>
                    </w:p>
                  </w:txbxContent>
                </v:textbox>
              </v:shape>
            </w:pict>
          </mc:Fallback>
        </mc:AlternateContent>
      </w:r>
    </w:p>
    <w:p w14:paraId="7BB6F9F7">
      <w:pPr>
        <w:shd w:val="clear"/>
        <w:rPr>
          <w:rFonts w:hint="eastAsia" w:ascii="宋体" w:hAnsi="宋体" w:eastAsia="宋体" w:cs="宋体"/>
          <w:color w:val="auto"/>
          <w:highlight w:val="none"/>
        </w:rPr>
      </w:pPr>
    </w:p>
    <w:p w14:paraId="4B046B1A">
      <w:pPr>
        <w:shd w:val="clear"/>
        <w:rPr>
          <w:rFonts w:hint="eastAsia" w:ascii="宋体" w:hAnsi="宋体" w:eastAsia="宋体" w:cs="宋体"/>
          <w:color w:val="auto"/>
          <w:highlight w:val="none"/>
        </w:rPr>
      </w:pPr>
    </w:p>
    <w:p w14:paraId="5387BD6C">
      <w:pPr>
        <w:shd w:val="clear"/>
        <w:rPr>
          <w:rFonts w:hint="eastAsia" w:ascii="宋体" w:hAnsi="宋体" w:eastAsia="宋体" w:cs="宋体"/>
          <w:color w:val="auto"/>
          <w:highlight w:val="none"/>
        </w:rPr>
      </w:pPr>
    </w:p>
    <w:p w14:paraId="0792B6E5">
      <w:pPr>
        <w:shd w:val="clear"/>
        <w:rPr>
          <w:rFonts w:hint="eastAsia" w:ascii="宋体" w:hAnsi="宋体" w:eastAsia="宋体" w:cs="宋体"/>
          <w:color w:val="auto"/>
          <w:highlight w:val="none"/>
        </w:rPr>
      </w:pPr>
    </w:p>
    <w:p w14:paraId="7855A2DE">
      <w:pPr>
        <w:shd w:val="clear"/>
        <w:rPr>
          <w:rFonts w:hint="eastAsia" w:ascii="宋体" w:hAnsi="宋体" w:eastAsia="宋体" w:cs="宋体"/>
          <w:color w:val="auto"/>
          <w:highlight w:val="none"/>
        </w:rPr>
      </w:pPr>
    </w:p>
    <w:p w14:paraId="1D73223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60ACAA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格式八：</w:t>
      </w:r>
    </w:p>
    <w:p w14:paraId="5BBA277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bCs w:val="0"/>
          <w:color w:val="auto"/>
          <w:sz w:val="28"/>
          <w:szCs w:val="28"/>
          <w:highlight w:val="none"/>
        </w:rPr>
      </w:pPr>
      <w:r>
        <w:rPr>
          <w:rFonts w:hint="eastAsia" w:ascii="宋体" w:hAnsi="宋体" w:eastAsia="宋体" w:cs="宋体"/>
          <w:b/>
          <w:bCs w:val="0"/>
          <w:color w:val="auto"/>
          <w:sz w:val="28"/>
          <w:szCs w:val="28"/>
          <w:highlight w:val="none"/>
        </w:rPr>
        <w:t>投标保证金</w:t>
      </w:r>
    </w:p>
    <w:p w14:paraId="11ED823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采购文件要求递交投标保证金的，投标人应在此提供保证金的凭证的复印件。</w:t>
      </w:r>
    </w:p>
    <w:p w14:paraId="598F2FE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849A7F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格式九：</w:t>
      </w:r>
    </w:p>
    <w:p w14:paraId="69BB158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8"/>
          <w:szCs w:val="28"/>
          <w:highlight w:val="none"/>
        </w:rPr>
        <w:t>提供具有独立承担民事责任的能力的证明材料</w:t>
      </w:r>
    </w:p>
    <w:p w14:paraId="4E89DF6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E99326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p>
    <w:p w14:paraId="29E0ADD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资格性审查要求的其他资质证明文件</w:t>
      </w:r>
    </w:p>
    <w:p w14:paraId="55518FA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具有履行合同所必需的设备和专业技术能力</w:t>
      </w:r>
    </w:p>
    <w:p w14:paraId="75DBADC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FDFBC0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DEB6BD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CB4CD7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4FDF2B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14561C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3C8E6B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BEDCDD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F99EEB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F52709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F49B7F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BA8867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CA5C16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674EB1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8366F4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430B08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D46360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6443F9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57638E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F9C965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40BC1F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格式十一：</w:t>
      </w:r>
    </w:p>
    <w:p w14:paraId="761AC025">
      <w:pPr>
        <w:shd w:val="clear"/>
        <w:jc w:val="center"/>
        <w:rPr>
          <w:rFonts w:hint="eastAsia" w:ascii="宋体" w:hAnsi="宋体" w:eastAsia="宋体" w:cs="宋体"/>
          <w:b/>
          <w:bCs/>
          <w:color w:val="auto"/>
          <w:kern w:val="0"/>
          <w:sz w:val="24"/>
          <w:szCs w:val="24"/>
          <w:highlight w:val="none"/>
        </w:rPr>
      </w:pPr>
      <w:r>
        <w:rPr>
          <w:rFonts w:hint="eastAsia" w:ascii="宋体" w:hAnsi="宋体" w:eastAsia="宋体" w:cs="宋体"/>
          <w:b/>
          <w:bCs/>
          <w:color w:val="auto"/>
          <w:kern w:val="0"/>
          <w:sz w:val="24"/>
          <w:szCs w:val="24"/>
          <w:highlight w:val="none"/>
        </w:rPr>
        <w:t>阳江市政府采购供应商资格信用承诺函</w:t>
      </w:r>
    </w:p>
    <w:p w14:paraId="6EB46B35">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我 方 自 愿 参 加    ( 项 目 名 称 )    项 目 ( 项 目 编 号：        )的政府采购活动，并郑重承诺符合《中华人民共和国政府采购法》第二十二条第一款第(二)项、第(三)项、第(四)项、第(五)项规定条件，具体包括:</w:t>
      </w:r>
    </w:p>
    <w:p w14:paraId="240C9FE6">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1.具有良好的商业信誉和健全的财务会计制度;</w:t>
      </w:r>
    </w:p>
    <w:p w14:paraId="637D9696">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2.具有履行合同所必需的设备和专业技术能力;</w:t>
      </w:r>
    </w:p>
    <w:p w14:paraId="3C1363BA">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3.具有依法缴纳税收和社会保障资金的良好记录;</w:t>
      </w:r>
    </w:p>
    <w:p w14:paraId="098CDCC9">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4.参加政府采购活动前三年内，在经营活动中没有重大违法记录。</w:t>
      </w:r>
    </w:p>
    <w:p w14:paraId="4B9CE63F">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我方对上述承诺的真实性负责，在评审环节结束后，自愿接受采购单位(采购代理机构)的检查核验，配合提供相关证明材料，证明符合《中华人民共和国政府采购法》规定的供应商基本资格条件。如有虚假，将依法承担相应法律责任。</w:t>
      </w:r>
    </w:p>
    <w:p w14:paraId="25B5E756">
      <w:pPr>
        <w:keepNext w:val="0"/>
        <w:keepLines w:val="0"/>
        <w:pageBreakBefore w:val="0"/>
        <w:widowControl w:val="0"/>
        <w:shd w:val="clear"/>
        <w:kinsoku/>
        <w:wordWrap/>
        <w:overflowPunct/>
        <w:topLinePunct w:val="0"/>
        <w:autoSpaceDE/>
        <w:autoSpaceDN/>
        <w:bidi w:val="0"/>
        <w:adjustRightInd/>
        <w:snapToGrid/>
        <w:spacing w:line="600" w:lineRule="exact"/>
        <w:ind w:firstLine="480" w:firstLineChars="200"/>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特此承诺。</w:t>
      </w:r>
    </w:p>
    <w:p w14:paraId="4B47B5EF">
      <w:pPr>
        <w:keepNext w:val="0"/>
        <w:keepLines w:val="0"/>
        <w:pageBreakBefore w:val="0"/>
        <w:widowControl w:val="0"/>
        <w:shd w:val="clear"/>
        <w:kinsoku/>
        <w:wordWrap/>
        <w:overflowPunct/>
        <w:topLinePunct w:val="0"/>
        <w:autoSpaceDE/>
        <w:autoSpaceDN/>
        <w:bidi w:val="0"/>
        <w:adjustRightInd/>
        <w:snapToGrid/>
        <w:spacing w:line="6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供应商名称(公章):</w:t>
      </w:r>
    </w:p>
    <w:p w14:paraId="5EFAA55B">
      <w:pPr>
        <w:keepNext w:val="0"/>
        <w:keepLines w:val="0"/>
        <w:pageBreakBefore w:val="0"/>
        <w:widowControl w:val="0"/>
        <w:shd w:val="clear"/>
        <w:kinsoku/>
        <w:wordWrap/>
        <w:overflowPunct/>
        <w:topLinePunct w:val="0"/>
        <w:autoSpaceDE/>
        <w:autoSpaceDN/>
        <w:bidi w:val="0"/>
        <w:adjustRightInd/>
        <w:snapToGrid/>
        <w:spacing w:line="6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统一社会信用代码:</w:t>
      </w:r>
    </w:p>
    <w:p w14:paraId="7B89563C">
      <w:pPr>
        <w:keepNext w:val="0"/>
        <w:keepLines w:val="0"/>
        <w:pageBreakBefore w:val="0"/>
        <w:widowControl w:val="0"/>
        <w:shd w:val="clear"/>
        <w:kinsoku/>
        <w:wordWrap/>
        <w:overflowPunct/>
        <w:topLinePunct w:val="0"/>
        <w:autoSpaceDE/>
        <w:autoSpaceDN/>
        <w:bidi w:val="0"/>
        <w:adjustRightInd/>
        <w:snapToGrid/>
        <w:spacing w:line="6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法定代表人或授权代表(签名):</w:t>
      </w:r>
    </w:p>
    <w:p w14:paraId="3AED7056">
      <w:pPr>
        <w:keepNext w:val="0"/>
        <w:keepLines w:val="0"/>
        <w:pageBreakBefore w:val="0"/>
        <w:widowControl w:val="0"/>
        <w:shd w:val="clear"/>
        <w:kinsoku/>
        <w:wordWrap/>
        <w:overflowPunct/>
        <w:topLinePunct w:val="0"/>
        <w:autoSpaceDE/>
        <w:autoSpaceDN/>
        <w:bidi w:val="0"/>
        <w:adjustRightInd/>
        <w:snapToGrid/>
        <w:spacing w:line="6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日期:   年  月  日</w:t>
      </w:r>
    </w:p>
    <w:p w14:paraId="5AE23DFA">
      <w:pPr>
        <w:keepNext w:val="0"/>
        <w:keepLines w:val="0"/>
        <w:pageBreakBefore w:val="0"/>
        <w:widowControl w:val="0"/>
        <w:shd w:val="clear"/>
        <w:kinsoku/>
        <w:wordWrap/>
        <w:overflowPunct/>
        <w:topLinePunct w:val="0"/>
        <w:autoSpaceDE/>
        <w:autoSpaceDN/>
        <w:bidi w:val="0"/>
        <w:adjustRightInd/>
        <w:snapToGrid/>
        <w:spacing w:line="600" w:lineRule="exact"/>
        <w:jc w:val="left"/>
        <w:textAlignment w:val="auto"/>
        <w:rPr>
          <w:rFonts w:hint="eastAsia" w:ascii="宋体" w:hAnsi="宋体" w:eastAsia="宋体" w:cs="宋体"/>
          <w:color w:val="auto"/>
          <w:kern w:val="0"/>
          <w:sz w:val="24"/>
          <w:szCs w:val="24"/>
          <w:highlight w:val="none"/>
        </w:rPr>
      </w:pPr>
      <w:r>
        <w:rPr>
          <w:rFonts w:hint="eastAsia" w:ascii="宋体" w:hAnsi="宋体" w:eastAsia="宋体" w:cs="宋体"/>
          <w:color w:val="auto"/>
          <w:kern w:val="0"/>
          <w:sz w:val="24"/>
          <w:szCs w:val="24"/>
          <w:highlight w:val="none"/>
        </w:rPr>
        <w:t>注:供应商的法定代表人(其他组织的为负责人)或者授权代表的签名或盖章应真实、有效，如由授权代表签名或盖章的，应提供“法定代表人授权书”</w:t>
      </w:r>
    </w:p>
    <w:p w14:paraId="0000F565">
      <w:pPr>
        <w:pStyle w:val="175"/>
        <w:rPr>
          <w:rFonts w:hint="eastAsia" w:ascii="宋体" w:hAnsi="宋体" w:eastAsia="宋体" w:cs="宋体"/>
          <w:color w:val="auto"/>
          <w:kern w:val="0"/>
          <w:sz w:val="28"/>
          <w:szCs w:val="28"/>
          <w:highlight w:val="none"/>
          <w:lang w:eastAsia="zh-CN"/>
        </w:rPr>
      </w:pPr>
    </w:p>
    <w:p w14:paraId="621B0113">
      <w:pPr>
        <w:pStyle w:val="175"/>
        <w:rPr>
          <w:rFonts w:hint="eastAsia" w:ascii="宋体" w:hAnsi="宋体" w:eastAsia="宋体" w:cs="宋体"/>
          <w:color w:val="auto"/>
          <w:kern w:val="0"/>
          <w:sz w:val="28"/>
          <w:szCs w:val="28"/>
          <w:highlight w:val="none"/>
          <w:lang w:eastAsia="zh-CN"/>
        </w:rPr>
      </w:pPr>
    </w:p>
    <w:p w14:paraId="21D478CA">
      <w:pPr>
        <w:pStyle w:val="175"/>
        <w:rPr>
          <w:rFonts w:hint="eastAsia" w:ascii="宋体" w:hAnsi="宋体" w:eastAsia="宋体" w:cs="宋体"/>
          <w:color w:val="auto"/>
          <w:kern w:val="0"/>
          <w:sz w:val="28"/>
          <w:szCs w:val="28"/>
          <w:highlight w:val="none"/>
          <w:lang w:eastAsia="zh-CN"/>
        </w:rPr>
      </w:pPr>
    </w:p>
    <w:p w14:paraId="038B7C8C">
      <w:pPr>
        <w:pStyle w:val="175"/>
        <w:rPr>
          <w:rFonts w:hint="eastAsia" w:ascii="宋体" w:hAnsi="宋体" w:eastAsia="宋体" w:cs="宋体"/>
          <w:color w:val="auto"/>
          <w:kern w:val="0"/>
          <w:sz w:val="28"/>
          <w:szCs w:val="28"/>
          <w:highlight w:val="none"/>
          <w:lang w:eastAsia="zh-CN"/>
        </w:rPr>
      </w:pPr>
    </w:p>
    <w:p w14:paraId="782FF613">
      <w:pPr>
        <w:pStyle w:val="175"/>
        <w:rPr>
          <w:rFonts w:hint="eastAsia" w:ascii="宋体" w:hAnsi="宋体" w:eastAsia="宋体" w:cs="宋体"/>
          <w:color w:val="auto"/>
          <w:kern w:val="0"/>
          <w:sz w:val="28"/>
          <w:szCs w:val="28"/>
          <w:highlight w:val="none"/>
          <w:lang w:eastAsia="zh-CN"/>
        </w:rPr>
      </w:pPr>
    </w:p>
    <w:p w14:paraId="029D509F">
      <w:pPr>
        <w:pStyle w:val="175"/>
        <w:rPr>
          <w:rFonts w:hint="eastAsia" w:ascii="宋体" w:hAnsi="宋体" w:eastAsia="宋体" w:cs="宋体"/>
          <w:color w:val="auto"/>
          <w:kern w:val="0"/>
          <w:sz w:val="28"/>
          <w:szCs w:val="28"/>
          <w:highlight w:val="none"/>
        </w:rPr>
      </w:pPr>
    </w:p>
    <w:p w14:paraId="6CE7421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w:t>
      </w:r>
    </w:p>
    <w:p w14:paraId="167F51F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（对于采购需求写明“提供承诺”的条款，供应商可参照以下格式提供承诺）</w:t>
      </w:r>
    </w:p>
    <w:p w14:paraId="5A558ED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承诺函</w:t>
      </w:r>
    </w:p>
    <w:p w14:paraId="38048E3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eastAsia="zh-CN"/>
        </w:rPr>
        <w:t>阳江市妇幼保健院</w:t>
      </w:r>
      <w:r>
        <w:rPr>
          <w:rFonts w:hint="eastAsia" w:ascii="宋体" w:hAnsi="宋体" w:eastAsia="宋体" w:cs="宋体"/>
          <w:color w:val="auto"/>
          <w:sz w:val="21"/>
          <w:szCs w:val="21"/>
          <w:highlight w:val="none"/>
        </w:rPr>
        <w:br w:type="textWrapping"/>
      </w:r>
    </w:p>
    <w:p w14:paraId="7D389E7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对于__________________项目（项目编号：__________________），我方郑重承诺如下：</w:t>
      </w:r>
    </w:p>
    <w:p w14:paraId="31599EB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如中标/成交，我方承诺严格落实采购文件以下条款：(建议逐条复制采购文件相关条款原文)</w:t>
      </w:r>
    </w:p>
    <w:p w14:paraId="6BC7486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（一）星号条款</w:t>
      </w:r>
    </w:p>
    <w:p w14:paraId="560F0C6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p w14:paraId="6D3F299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p w14:paraId="075A431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p w14:paraId="275C3E6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A21091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（二）三角号条款</w:t>
      </w:r>
    </w:p>
    <w:p w14:paraId="3D7536E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p w14:paraId="2E4AAB3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p w14:paraId="2C2A62E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p w14:paraId="163426F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120672F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（三）非星号、非三角号条款</w:t>
      </w:r>
    </w:p>
    <w:p w14:paraId="7EE59C7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p w14:paraId="3322B15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p w14:paraId="4CDE3BD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p w14:paraId="23873C0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rPr>
        <w:br w:type="textWrapping"/>
      </w:r>
    </w:p>
    <w:p w14:paraId="3A9F369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3B6C016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供应商名称（盖章）：__________________</w:t>
      </w:r>
    </w:p>
    <w:p w14:paraId="417C980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6789853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DF9205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w:t>
      </w:r>
    </w:p>
    <w:p w14:paraId="44FF4C1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36BDDD9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中小企业声明函（所投产品制造商为中小企业时提交本函，所属行业应符合采购文件中明确的本项目所属行业）</w:t>
      </w:r>
    </w:p>
    <w:p w14:paraId="2A3DABF7">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中小企业声明函（服务）</w:t>
      </w:r>
    </w:p>
    <w:p w14:paraId="400D572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本公司（联合体）郑重声明，根据《政府采购促进中小企业发展管理办法》（财库﹝2020﹞46 号）的规定，本公司（联合体）参加</w:t>
      </w:r>
      <w:r>
        <w:rPr>
          <w:rFonts w:hint="eastAsia" w:ascii="宋体" w:hAnsi="宋体" w:eastAsia="宋体" w:cs="宋体"/>
          <w:color w:val="auto"/>
          <w:sz w:val="21"/>
          <w:szCs w:val="21"/>
          <w:highlight w:val="none"/>
          <w:u w:val="single"/>
        </w:rPr>
        <w:t>（单位名称）</w:t>
      </w:r>
      <w:r>
        <w:rPr>
          <w:rFonts w:hint="eastAsia" w:ascii="宋体" w:hAnsi="宋体" w:eastAsia="宋体" w:cs="宋体"/>
          <w:color w:val="auto"/>
          <w:sz w:val="21"/>
          <w:szCs w:val="21"/>
          <w:highlight w:val="none"/>
        </w:rPr>
        <w:t>的</w:t>
      </w:r>
      <w:r>
        <w:rPr>
          <w:rFonts w:hint="eastAsia" w:ascii="宋体" w:hAnsi="宋体" w:eastAsia="宋体" w:cs="宋体"/>
          <w:color w:val="auto"/>
          <w:sz w:val="21"/>
          <w:szCs w:val="21"/>
          <w:highlight w:val="none"/>
          <w:u w:val="single"/>
        </w:rPr>
        <w:t>（项目名称）</w:t>
      </w:r>
      <w:r>
        <w:rPr>
          <w:rFonts w:hint="eastAsia" w:ascii="宋体" w:hAnsi="宋体" w:eastAsia="宋体" w:cs="宋体"/>
          <w:color w:val="auto"/>
          <w:sz w:val="21"/>
          <w:szCs w:val="21"/>
          <w:highlight w:val="none"/>
        </w:rPr>
        <w:t>采购活动，工程的施工单位全部为符合政策要求的中小企业（或者：服务全部由符合政策要求的中小企业承接）。相关企业（含联合体中的中小企业、签订分包意向协议的中小企业）的具体情况如下：</w:t>
      </w:r>
    </w:p>
    <w:p w14:paraId="622102B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（软件和信息技术服务业）</w:t>
      </w:r>
      <w:r>
        <w:rPr>
          <w:rFonts w:hint="eastAsia" w:ascii="宋体" w:hAnsi="宋体" w:eastAsia="宋体" w:cs="宋体"/>
          <w:color w:val="auto"/>
          <w:sz w:val="21"/>
          <w:szCs w:val="21"/>
          <w:highlight w:val="none"/>
        </w:rPr>
        <w:t>行业；承建（承接）企业为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，从业人员__________________人，营业收入为__________________万元，资产总额为__________________万元1，属于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5BAAA3C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w:t>
      </w:r>
      <w:r>
        <w:rPr>
          <w:rFonts w:hint="eastAsia" w:ascii="宋体" w:hAnsi="宋体" w:eastAsia="宋体" w:cs="宋体"/>
          <w:color w:val="auto"/>
          <w:sz w:val="21"/>
          <w:szCs w:val="21"/>
          <w:highlight w:val="none"/>
          <w:u w:val="single"/>
        </w:rPr>
        <w:t>（标的名称）</w:t>
      </w:r>
      <w:r>
        <w:rPr>
          <w:rFonts w:hint="eastAsia" w:ascii="宋体" w:hAnsi="宋体" w:eastAsia="宋体" w:cs="宋体"/>
          <w:color w:val="auto"/>
          <w:sz w:val="21"/>
          <w:szCs w:val="21"/>
          <w:highlight w:val="none"/>
        </w:rPr>
        <w:t>，属于</w:t>
      </w:r>
      <w:r>
        <w:rPr>
          <w:rFonts w:hint="eastAsia" w:ascii="宋体" w:hAnsi="宋体" w:eastAsia="宋体" w:cs="宋体"/>
          <w:color w:val="auto"/>
          <w:sz w:val="21"/>
          <w:szCs w:val="21"/>
          <w:highlight w:val="none"/>
          <w:u w:val="single"/>
        </w:rPr>
        <w:t>（采购文件中明确的所属行业）</w:t>
      </w:r>
      <w:r>
        <w:rPr>
          <w:rFonts w:hint="eastAsia" w:ascii="宋体" w:hAnsi="宋体" w:eastAsia="宋体" w:cs="宋体"/>
          <w:color w:val="auto"/>
          <w:sz w:val="21"/>
          <w:szCs w:val="21"/>
          <w:highlight w:val="none"/>
        </w:rPr>
        <w:t>行业；承建（承接）企业为</w:t>
      </w:r>
      <w:r>
        <w:rPr>
          <w:rFonts w:hint="eastAsia" w:ascii="宋体" w:hAnsi="宋体" w:eastAsia="宋体" w:cs="宋体"/>
          <w:color w:val="auto"/>
          <w:sz w:val="21"/>
          <w:szCs w:val="21"/>
          <w:highlight w:val="none"/>
          <w:u w:val="single"/>
        </w:rPr>
        <w:t>（企业名称）</w:t>
      </w:r>
      <w:r>
        <w:rPr>
          <w:rFonts w:hint="eastAsia" w:ascii="宋体" w:hAnsi="宋体" w:eastAsia="宋体" w:cs="宋体"/>
          <w:color w:val="auto"/>
          <w:sz w:val="21"/>
          <w:szCs w:val="21"/>
          <w:highlight w:val="none"/>
        </w:rPr>
        <w:t>，从业人员__________________人，营业收入为__________________万元，资产总额为__________________万元1，属于</w:t>
      </w:r>
      <w:r>
        <w:rPr>
          <w:rFonts w:hint="eastAsia" w:ascii="宋体" w:hAnsi="宋体" w:eastAsia="宋体" w:cs="宋体"/>
          <w:color w:val="auto"/>
          <w:sz w:val="21"/>
          <w:szCs w:val="21"/>
          <w:highlight w:val="none"/>
          <w:u w:val="single"/>
        </w:rPr>
        <w:t>（中型企业、小型企业、微型企业）</w:t>
      </w:r>
      <w:r>
        <w:rPr>
          <w:rFonts w:hint="eastAsia" w:ascii="宋体" w:hAnsi="宋体" w:eastAsia="宋体" w:cs="宋体"/>
          <w:color w:val="auto"/>
          <w:sz w:val="21"/>
          <w:szCs w:val="21"/>
          <w:highlight w:val="none"/>
        </w:rPr>
        <w:t>；</w:t>
      </w:r>
    </w:p>
    <w:p w14:paraId="48F73FF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3231A06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以上企业，不属于大企业的分支机构，不存在控股股东为大企业的情形，也不存在与大企业的负责人为同一人的情形。</w:t>
      </w:r>
    </w:p>
    <w:p w14:paraId="1F8A43B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本企业对上述声明内容的真实性负责。如有虚假，将依法承担相应责任。</w:t>
      </w:r>
    </w:p>
    <w:p w14:paraId="34AF79E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企业名称（盖章）：__________________</w:t>
      </w:r>
    </w:p>
    <w:p w14:paraId="422B80B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405E062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1：从业人员、营业收入、资产总额填报上一年度数据，无上一年度数据的新成立企业可不填报。</w:t>
      </w:r>
    </w:p>
    <w:p w14:paraId="5001642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2：投标人应当自行核实是否属于小微企业，并认真填写声明函，若有虚假将追究其责任。</w:t>
      </w:r>
    </w:p>
    <w:p w14:paraId="535D88D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w:t>
      </w:r>
    </w:p>
    <w:p w14:paraId="577BB8C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1124201E">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监狱企业</w:t>
      </w:r>
    </w:p>
    <w:p w14:paraId="6AD5909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提供由监狱管理局、戒毒管理局（含新疆生产建设兵团）出具的属于监狱企业的证明文件。</w:t>
      </w:r>
    </w:p>
    <w:p w14:paraId="67F2631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45CC167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EF8E0E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92C4D4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518AAF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D5D370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E5C3CB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w:t>
      </w:r>
    </w:p>
    <w:p w14:paraId="326C1E8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5766B78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残疾人福利性单位声明函</w:t>
      </w:r>
    </w:p>
    <w:p w14:paraId="6FB004D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本单位郑重声明，根据《财政部 民政部 中国残疾人联合会关于促进残疾人就业政府采购政策的通知》（财库〔2017〕 141号）的规定，本单位为符合条件的残疾人福利性单位，且本单位参加______单位的______项目采购活动提供本单位制造的货物（由本单位承担工程/提供服务），或者提供其他残疾人福利性单位制造的货物（不包括使用非残疾人福利性单位注册商标的货物）。</w:t>
      </w:r>
    </w:p>
    <w:p w14:paraId="164A93A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本单位对上述声明的真实性负责。如有虚假，将依法承担相应责任。</w:t>
      </w:r>
    </w:p>
    <w:p w14:paraId="674C9A9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单位名称（盖章）：__________________</w:t>
      </w:r>
    </w:p>
    <w:p w14:paraId="0641F50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695A600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注：本函未填写或未勾选视作未做声明。</w:t>
      </w:r>
    </w:p>
    <w:p w14:paraId="0AE0D74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8D8F16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D53AB3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EB07A2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AB5182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D2B78A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C14DBA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192E46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57C1F7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六</w:t>
      </w:r>
      <w:r>
        <w:rPr>
          <w:rFonts w:hint="eastAsia" w:ascii="宋体" w:hAnsi="宋体" w:eastAsia="宋体" w:cs="宋体"/>
          <w:b/>
          <w:color w:val="auto"/>
          <w:sz w:val="21"/>
          <w:szCs w:val="21"/>
          <w:highlight w:val="none"/>
        </w:rPr>
        <w:t>：</w:t>
      </w:r>
    </w:p>
    <w:p w14:paraId="75B84E5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1EF75AE4">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联合体共同投标协议书</w:t>
      </w:r>
    </w:p>
    <w:p w14:paraId="5749025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立约方：</w:t>
      </w:r>
      <w:r>
        <w:rPr>
          <w:rFonts w:hint="eastAsia" w:ascii="宋体" w:hAnsi="宋体" w:eastAsia="宋体" w:cs="宋体"/>
          <w:color w:val="auto"/>
          <w:sz w:val="21"/>
          <w:szCs w:val="21"/>
          <w:highlight w:val="none"/>
          <w:u w:val="single"/>
        </w:rPr>
        <w:t>（甲公司全称）</w:t>
      </w:r>
    </w:p>
    <w:p w14:paraId="48C04FB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（乙公司全称）</w:t>
      </w:r>
    </w:p>
    <w:p w14:paraId="1D4C12A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（……公司全称）</w:t>
      </w:r>
    </w:p>
    <w:p w14:paraId="0986236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（甲公司全称）、（乙公司全称）、（……公司全称）</w:t>
      </w:r>
      <w:r>
        <w:rPr>
          <w:rFonts w:hint="eastAsia" w:ascii="宋体" w:hAnsi="宋体" w:eastAsia="宋体" w:cs="宋体"/>
          <w:color w:val="auto"/>
          <w:sz w:val="21"/>
          <w:szCs w:val="21"/>
          <w:highlight w:val="none"/>
        </w:rPr>
        <w:t>自愿组成联合体，以一个投标人的身份共同参加（采购项目名称）（采购项目编号）的响应活动。经各方充分协商一致，就项目的响应和合同实施阶段的有关事务协商一致订立协议如下：</w:t>
      </w:r>
    </w:p>
    <w:p w14:paraId="208FB81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一、联合体各方关系</w:t>
      </w:r>
    </w:p>
    <w:p w14:paraId="6779C30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u w:val="single"/>
        </w:rPr>
        <w:t>（甲公司全称）、（乙公司全称）、（……公司全称）</w:t>
      </w:r>
      <w:r>
        <w:rPr>
          <w:rFonts w:hint="eastAsia" w:ascii="宋体" w:hAnsi="宋体" w:eastAsia="宋体" w:cs="宋体"/>
          <w:color w:val="auto"/>
          <w:sz w:val="21"/>
          <w:szCs w:val="21"/>
          <w:highlight w:val="none"/>
        </w:rPr>
        <w:t>共同组成一个联合体，以一个投标人的身份共同参加本项目的响应。（甲公司全称）、（乙公司全称）、（……公司全称）作为联合体成员，若中标，联合体各方共同与（采购人）签订政府采购合同。</w:t>
      </w:r>
    </w:p>
    <w:p w14:paraId="6074623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二、联合体内部有关事项约定如下：</w:t>
      </w:r>
    </w:p>
    <w:p w14:paraId="7038DC7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1.（甲公司全称）作为联合体的牵头单位，代表联合体双方负责投标和合同实施阶段的主办、协调工作。</w:t>
      </w:r>
    </w:p>
    <w:p w14:paraId="222C44F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2.联合体将严格按照文件的各项要求，递交投标文件，切实执行一切合同文件，共同承担合同规定的一切义务和责任，同时按照内部职责的划分，承担自身所负的责任和风险，在法律上承担连带责任。</w:t>
      </w:r>
    </w:p>
    <w:p w14:paraId="32264A6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3.如果本联合体中标，</w:t>
      </w:r>
      <w:r>
        <w:rPr>
          <w:rFonts w:hint="eastAsia" w:ascii="宋体" w:hAnsi="宋体" w:eastAsia="宋体" w:cs="宋体"/>
          <w:color w:val="auto"/>
          <w:sz w:val="21"/>
          <w:szCs w:val="21"/>
          <w:highlight w:val="none"/>
          <w:u w:val="single"/>
        </w:rPr>
        <w:t>（甲公司全称）</w:t>
      </w:r>
      <w:r>
        <w:rPr>
          <w:rFonts w:hint="eastAsia" w:ascii="宋体" w:hAnsi="宋体" w:eastAsia="宋体" w:cs="宋体"/>
          <w:color w:val="auto"/>
          <w:sz w:val="21"/>
          <w:szCs w:val="21"/>
          <w:highlight w:val="none"/>
        </w:rPr>
        <w:t>负责本项目___________部分，</w:t>
      </w:r>
      <w:r>
        <w:rPr>
          <w:rFonts w:hint="eastAsia" w:ascii="宋体" w:hAnsi="宋体" w:eastAsia="宋体" w:cs="宋体"/>
          <w:color w:val="auto"/>
          <w:sz w:val="21"/>
          <w:szCs w:val="21"/>
          <w:highlight w:val="none"/>
          <w:u w:val="single"/>
        </w:rPr>
        <w:t>（乙公司全称）</w:t>
      </w:r>
      <w:r>
        <w:rPr>
          <w:rFonts w:hint="eastAsia" w:ascii="宋体" w:hAnsi="宋体" w:eastAsia="宋体" w:cs="宋体"/>
          <w:color w:val="auto"/>
          <w:sz w:val="21"/>
          <w:szCs w:val="21"/>
          <w:highlight w:val="none"/>
        </w:rPr>
        <w:t>负责本项目___________部分。</w:t>
      </w:r>
    </w:p>
    <w:p w14:paraId="161BCDA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4.如中标，联合体各方共同与（采购人）签订合同书，并就中标项目向采购人负责有连带的和各自的法律责任；</w:t>
      </w:r>
    </w:p>
    <w:p w14:paraId="2CF18DB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5.联合体成员（公司全称）为（请填写：小型、微型）企业，将承担合同总金额_____%的工作内容（联合体成员中有小型、微型企业时适用）。</w:t>
      </w:r>
    </w:p>
    <w:p w14:paraId="0EE5278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三、联合体各方不得再以自己名义参与本采购包响应，联合体各方不能作为其它联合体或单独响应单位的项目组成员参加本采购包响应。因发生上述问题导致联合体响应成为无效报价，联合体的其他成员可追究其违约责任和经济损失。</w:t>
      </w:r>
    </w:p>
    <w:p w14:paraId="2FA3888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四、联合体如因违约过失责任而导致采购人经济损失或被索赔时，本联合体任何一方均同意无条件优先清偿采购人的一切债务和经济赔偿。</w:t>
      </w:r>
    </w:p>
    <w:p w14:paraId="0727F6A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五、本协议在自签署之日起生效，有效期内有效，如获中标资格，合同有效期延续至合同履行完毕之日。</w:t>
      </w:r>
    </w:p>
    <w:p w14:paraId="77B0297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六、本协议书正本一式_____份，随投标文件装订_____份，送采购人_____份，联合体成员各一份；副本一式_____份，联合体成员各执_____份。</w:t>
      </w:r>
    </w:p>
    <w:p w14:paraId="3E86305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甲公司全称：____（盖章）________，乙公司全称：____（盖章）________，……公司全称：____（盖章）________，</w:t>
      </w:r>
    </w:p>
    <w:p w14:paraId="08A5D7E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____年____月 ____日，____年____月____日，____年____月____日</w:t>
      </w:r>
    </w:p>
    <w:p w14:paraId="02CA499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注：1．联合响应时需签本协议，联合体各方成员应在本协议上共同盖章确认。</w:t>
      </w:r>
    </w:p>
    <w:p w14:paraId="4396A63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2．本协议内容不得擅自修改。此协议将作为签订合同的附件之一。</w:t>
      </w:r>
    </w:p>
    <w:p w14:paraId="78CD737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ED75AE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729BEB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8E2A4D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087A5F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9CE9E8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424E0D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7BB1B4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84210A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3A6979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897369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B89E84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6C6368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A69C87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467E7D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F64164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7826FE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3E7627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C1FDC1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DE1D9D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64C3CA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37DF6B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19E125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E4B59C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七</w:t>
      </w:r>
      <w:r>
        <w:rPr>
          <w:rFonts w:hint="eastAsia" w:ascii="宋体" w:hAnsi="宋体" w:eastAsia="宋体" w:cs="宋体"/>
          <w:b/>
          <w:color w:val="auto"/>
          <w:sz w:val="21"/>
          <w:szCs w:val="21"/>
          <w:highlight w:val="none"/>
        </w:rPr>
        <w:t>：</w:t>
      </w:r>
    </w:p>
    <w:p w14:paraId="07122D5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3070A8D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投标人业绩情况表</w:t>
      </w:r>
    </w:p>
    <w:tbl>
      <w:tblPr>
        <w:tblStyle w:val="37"/>
        <w:tblW w:w="9071" w:type="dxa"/>
        <w:tblInd w:w="0" w:type="dxa"/>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511"/>
        <w:gridCol w:w="1512"/>
        <w:gridCol w:w="1512"/>
        <w:gridCol w:w="1512"/>
        <w:gridCol w:w="1512"/>
        <w:gridCol w:w="1512"/>
      </w:tblGrid>
      <w:tr w14:paraId="5A7D1C3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C14C41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1384" w:type="dxa"/>
            <w:vAlign w:val="top"/>
          </w:tcPr>
          <w:p w14:paraId="03A7CA0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客户名称</w:t>
            </w:r>
          </w:p>
        </w:tc>
        <w:tc>
          <w:tcPr>
            <w:tcW w:w="1384" w:type="dxa"/>
            <w:vAlign w:val="top"/>
          </w:tcPr>
          <w:p w14:paraId="0510A9C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项目名称及合同金额（万元）</w:t>
            </w:r>
          </w:p>
        </w:tc>
        <w:tc>
          <w:tcPr>
            <w:tcW w:w="1384" w:type="dxa"/>
            <w:vAlign w:val="top"/>
          </w:tcPr>
          <w:p w14:paraId="45C6348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签订合同时间</w:t>
            </w:r>
          </w:p>
        </w:tc>
        <w:tc>
          <w:tcPr>
            <w:tcW w:w="1384" w:type="dxa"/>
            <w:vAlign w:val="top"/>
          </w:tcPr>
          <w:p w14:paraId="671566C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竣工验收报告时间</w:t>
            </w:r>
          </w:p>
        </w:tc>
        <w:tc>
          <w:tcPr>
            <w:tcW w:w="1384" w:type="dxa"/>
            <w:vAlign w:val="top"/>
          </w:tcPr>
          <w:p w14:paraId="7DA8597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联系人及电话</w:t>
            </w:r>
          </w:p>
        </w:tc>
      </w:tr>
      <w:tr w14:paraId="5F812BD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5DA551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384" w:type="dxa"/>
            <w:vAlign w:val="top"/>
          </w:tcPr>
          <w:p w14:paraId="7CD97DB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4DD9B77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5B72D09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5415082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39E1D0A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0E8AB1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761FC3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w:t>
            </w:r>
          </w:p>
        </w:tc>
        <w:tc>
          <w:tcPr>
            <w:tcW w:w="1384" w:type="dxa"/>
            <w:vAlign w:val="top"/>
          </w:tcPr>
          <w:p w14:paraId="0899256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5ADE0D0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0BAE9BC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0802E08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6063758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5006AC4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24D28C7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w:t>
            </w:r>
          </w:p>
        </w:tc>
        <w:tc>
          <w:tcPr>
            <w:tcW w:w="1384" w:type="dxa"/>
            <w:vAlign w:val="top"/>
          </w:tcPr>
          <w:p w14:paraId="4558FF3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326189D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3FA2A6B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67ECB39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09B945B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267B5A9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107F910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4</w:t>
            </w:r>
          </w:p>
        </w:tc>
        <w:tc>
          <w:tcPr>
            <w:tcW w:w="1384" w:type="dxa"/>
            <w:vAlign w:val="top"/>
          </w:tcPr>
          <w:p w14:paraId="062579A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12A4C4A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2596912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48B58F4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1BD1BC8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671725F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c>
          <w:tcPr>
            <w:tcW w:w="1384" w:type="dxa"/>
            <w:vAlign w:val="top"/>
          </w:tcPr>
          <w:p w14:paraId="5C64A5D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1384" w:type="dxa"/>
            <w:vAlign w:val="top"/>
          </w:tcPr>
          <w:p w14:paraId="37A4D09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2ECBCE6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4D9D2E6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4DBAD3F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384" w:type="dxa"/>
            <w:vAlign w:val="top"/>
          </w:tcPr>
          <w:p w14:paraId="522D5F0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7AF1758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根据上述业绩情况，按招标文件要求附销售或服务合同复印件及评审标准要求的证明材料。</w:t>
      </w:r>
    </w:p>
    <w:p w14:paraId="779783F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5E2C068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9F2174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4B11C1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B7BA13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6EFED6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59669D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A74095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3F9999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BB2EF3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660BCF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41E95D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A1AAA9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62E760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88E81C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546BB5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1644A1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八</w:t>
      </w:r>
      <w:r>
        <w:rPr>
          <w:rFonts w:hint="eastAsia" w:ascii="宋体" w:hAnsi="宋体" w:eastAsia="宋体" w:cs="宋体"/>
          <w:b/>
          <w:color w:val="auto"/>
          <w:sz w:val="21"/>
          <w:szCs w:val="21"/>
          <w:highlight w:val="none"/>
        </w:rPr>
        <w:t>：</w:t>
      </w:r>
    </w:p>
    <w:p w14:paraId="11B75D1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《技术和服务要求响应表》</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007"/>
        <w:gridCol w:w="1008"/>
        <w:gridCol w:w="1008"/>
        <w:gridCol w:w="1008"/>
        <w:gridCol w:w="1008"/>
        <w:gridCol w:w="1008"/>
        <w:gridCol w:w="1008"/>
        <w:gridCol w:w="1008"/>
        <w:gridCol w:w="1008"/>
      </w:tblGrid>
      <w:tr w14:paraId="10A6672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A05AAE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923" w:type="dxa"/>
            <w:vAlign w:val="top"/>
          </w:tcPr>
          <w:p w14:paraId="0260620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标的名称</w:t>
            </w:r>
          </w:p>
        </w:tc>
        <w:tc>
          <w:tcPr>
            <w:tcW w:w="923" w:type="dxa"/>
            <w:vAlign w:val="top"/>
          </w:tcPr>
          <w:p w14:paraId="5E5058C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参数性质</w:t>
            </w:r>
          </w:p>
        </w:tc>
        <w:tc>
          <w:tcPr>
            <w:tcW w:w="923" w:type="dxa"/>
            <w:vAlign w:val="top"/>
          </w:tcPr>
          <w:p w14:paraId="4A01D66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采购文件规定的技术和服务要求</w:t>
            </w:r>
          </w:p>
        </w:tc>
        <w:tc>
          <w:tcPr>
            <w:tcW w:w="923" w:type="dxa"/>
            <w:vAlign w:val="top"/>
          </w:tcPr>
          <w:p w14:paraId="11344E4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投标文件响应的具体内容</w:t>
            </w:r>
          </w:p>
        </w:tc>
        <w:tc>
          <w:tcPr>
            <w:tcW w:w="923" w:type="dxa"/>
            <w:vAlign w:val="top"/>
          </w:tcPr>
          <w:p w14:paraId="69D8CF6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型号</w:t>
            </w:r>
          </w:p>
        </w:tc>
        <w:tc>
          <w:tcPr>
            <w:tcW w:w="923" w:type="dxa"/>
            <w:vAlign w:val="top"/>
          </w:tcPr>
          <w:p w14:paraId="420F643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是否偏离</w:t>
            </w:r>
          </w:p>
        </w:tc>
        <w:tc>
          <w:tcPr>
            <w:tcW w:w="923" w:type="dxa"/>
            <w:vAlign w:val="top"/>
          </w:tcPr>
          <w:p w14:paraId="48F45EC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证明文件所在位置</w:t>
            </w:r>
          </w:p>
        </w:tc>
        <w:tc>
          <w:tcPr>
            <w:tcW w:w="923" w:type="dxa"/>
            <w:vAlign w:val="top"/>
          </w:tcPr>
          <w:p w14:paraId="01787CE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备注</w:t>
            </w:r>
          </w:p>
        </w:tc>
      </w:tr>
      <w:tr w14:paraId="1C0C913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52B1FE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923" w:type="dxa"/>
            <w:vAlign w:val="top"/>
          </w:tcPr>
          <w:p w14:paraId="7D07B78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3CD64CE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170990C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3004876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5A7EF2F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64F86A5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00C8923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91CAD6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525EB72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18CF1E1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923" w:type="dxa"/>
            <w:vAlign w:val="top"/>
          </w:tcPr>
          <w:p w14:paraId="0EE8014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347E0BB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5C6A05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39F0699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9065C0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121095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60BB24A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4698CE4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61742B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1C4FDA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923" w:type="dxa"/>
            <w:vAlign w:val="top"/>
          </w:tcPr>
          <w:p w14:paraId="0F61C6F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19139D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401B6DB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A8E418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8ACCE3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05A4790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0DEE821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165BE83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7859EF0F">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40581F7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923" w:type="dxa"/>
            <w:vAlign w:val="top"/>
          </w:tcPr>
          <w:p w14:paraId="67CE6F3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087B92C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6E5ECB6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29C67A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F375DA1">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39064D6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3084A6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2B4492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43FA3D3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74D9407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923" w:type="dxa"/>
            <w:vAlign w:val="top"/>
          </w:tcPr>
          <w:p w14:paraId="0F06BAD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4AFEABE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38B0963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408EEAB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FECD5B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63FCAF8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1E1C629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4744A80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50BED86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2B05962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923" w:type="dxa"/>
            <w:vAlign w:val="top"/>
          </w:tcPr>
          <w:p w14:paraId="16E7607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53AB49F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3E243D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60FD194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5A0480E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6D5EC8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5D9CCA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59214E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6F6A5B8A">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923" w:type="dxa"/>
            <w:vAlign w:val="top"/>
          </w:tcPr>
          <w:p w14:paraId="63D2AC3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923" w:type="dxa"/>
            <w:vAlign w:val="top"/>
          </w:tcPr>
          <w:p w14:paraId="108A934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15D8A33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738B2A9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4D761B2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176DC59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18E16B5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E66744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923" w:type="dxa"/>
            <w:vAlign w:val="top"/>
          </w:tcPr>
          <w:p w14:paraId="23E8E5C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46D2139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1838461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1.“采购文件规定的技术和服务要求”项下填写的内容应与招标文件中采购需求的 “技术要求”的内容保持一致。投标人应当如实填写上表“投标文件响应的具体内容”处内容，对采购文件提出的要求和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2CEEA00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5D20F8B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“是否偏离”项下应按下列规定填写：优于的，填写“正偏离”；符合的，填写“无偏离”；低于的，填写“负偏离”。</w:t>
      </w:r>
    </w:p>
    <w:p w14:paraId="1C1A012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4.“备注”处可填写偏离情况的说明。</w:t>
      </w:r>
    </w:p>
    <w:p w14:paraId="0D25107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175F51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格式十</w:t>
      </w:r>
      <w:r>
        <w:rPr>
          <w:rFonts w:hint="eastAsia" w:ascii="宋体" w:hAnsi="宋体" w:eastAsia="宋体" w:cs="宋体"/>
          <w:b/>
          <w:color w:val="auto"/>
          <w:sz w:val="21"/>
          <w:szCs w:val="21"/>
          <w:highlight w:val="none"/>
          <w:lang w:val="en-US" w:eastAsia="zh-CN"/>
        </w:rPr>
        <w:t>九</w:t>
      </w:r>
      <w:r>
        <w:rPr>
          <w:rFonts w:hint="eastAsia" w:ascii="宋体" w:hAnsi="宋体" w:eastAsia="宋体" w:cs="宋体"/>
          <w:b/>
          <w:color w:val="auto"/>
          <w:sz w:val="21"/>
          <w:szCs w:val="21"/>
          <w:highlight w:val="none"/>
        </w:rPr>
        <w:t>：</w:t>
      </w:r>
    </w:p>
    <w:p w14:paraId="45C31EF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《商务条件响应表》</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1295"/>
        <w:gridCol w:w="1296"/>
        <w:gridCol w:w="1296"/>
        <w:gridCol w:w="1296"/>
        <w:gridCol w:w="1296"/>
        <w:gridCol w:w="1296"/>
        <w:gridCol w:w="1296"/>
      </w:tblGrid>
      <w:tr w14:paraId="73E7B29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3F69855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序号</w:t>
            </w:r>
          </w:p>
        </w:tc>
        <w:tc>
          <w:tcPr>
            <w:tcW w:w="1187" w:type="dxa"/>
            <w:vAlign w:val="top"/>
          </w:tcPr>
          <w:p w14:paraId="641AF8D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参数性质</w:t>
            </w:r>
          </w:p>
        </w:tc>
        <w:tc>
          <w:tcPr>
            <w:tcW w:w="1187" w:type="dxa"/>
            <w:vAlign w:val="top"/>
          </w:tcPr>
          <w:p w14:paraId="7B18919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采购文件规定的商务条件</w:t>
            </w:r>
          </w:p>
        </w:tc>
        <w:tc>
          <w:tcPr>
            <w:tcW w:w="1187" w:type="dxa"/>
            <w:vAlign w:val="top"/>
          </w:tcPr>
          <w:p w14:paraId="56D6A0F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投标文件响应的具体内容</w:t>
            </w:r>
          </w:p>
        </w:tc>
        <w:tc>
          <w:tcPr>
            <w:tcW w:w="1187" w:type="dxa"/>
            <w:vAlign w:val="top"/>
          </w:tcPr>
          <w:p w14:paraId="17504B6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是否偏离</w:t>
            </w:r>
          </w:p>
        </w:tc>
        <w:tc>
          <w:tcPr>
            <w:tcW w:w="1187" w:type="dxa"/>
            <w:vAlign w:val="top"/>
          </w:tcPr>
          <w:p w14:paraId="7F05847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证明文件所在位置</w:t>
            </w:r>
          </w:p>
        </w:tc>
        <w:tc>
          <w:tcPr>
            <w:tcW w:w="1187" w:type="dxa"/>
            <w:vAlign w:val="top"/>
          </w:tcPr>
          <w:p w14:paraId="461AC48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备注</w:t>
            </w:r>
          </w:p>
        </w:tc>
      </w:tr>
      <w:tr w14:paraId="3E93BE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D67B32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187" w:type="dxa"/>
            <w:vAlign w:val="top"/>
          </w:tcPr>
          <w:p w14:paraId="46B8EDE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31CF0FB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3AF30A7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249F3E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5009429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3082B00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040A83E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2F572F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187" w:type="dxa"/>
            <w:vAlign w:val="top"/>
          </w:tcPr>
          <w:p w14:paraId="391E69F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FF04FE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9FEE68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50542A6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4885288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0A47E17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20DEC0E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5B8F5D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187" w:type="dxa"/>
            <w:vAlign w:val="top"/>
          </w:tcPr>
          <w:p w14:paraId="18BF886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1ADC51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F88A49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318EA2D3">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1C54C9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D2F658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5C516CD1">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6238325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187" w:type="dxa"/>
            <w:vAlign w:val="top"/>
          </w:tcPr>
          <w:p w14:paraId="5D9E275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08FD81A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34C5D9E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A3C82A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CF1CCE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53FF1BF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3F966BAB">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4D95A4C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w:t>
            </w:r>
          </w:p>
        </w:tc>
        <w:tc>
          <w:tcPr>
            <w:tcW w:w="1187" w:type="dxa"/>
            <w:vAlign w:val="top"/>
          </w:tcPr>
          <w:p w14:paraId="3D18DF3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6F0C7F3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0E2522F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30E13BA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503855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4973BE1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49A2CF3">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F0902A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1187" w:type="dxa"/>
            <w:vAlign w:val="top"/>
          </w:tcPr>
          <w:p w14:paraId="78C7047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4CF21CC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70AB42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419601A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6E9D2DD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488D865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0D124FF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5B401F3C">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187" w:type="dxa"/>
            <w:vAlign w:val="top"/>
          </w:tcPr>
          <w:p w14:paraId="1063383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359F29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04E7AB7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6E62E21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239DA68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2690EC35">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26339CA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1A0671B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187" w:type="dxa"/>
            <w:vAlign w:val="top"/>
          </w:tcPr>
          <w:p w14:paraId="4697ED58">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455CF9C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6DB81CB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5EB043F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29E54BF0">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07C1F15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36EABC09">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7863931D">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187" w:type="dxa"/>
            <w:vAlign w:val="top"/>
          </w:tcPr>
          <w:p w14:paraId="57F19C7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2D8E15A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1C639144">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01436D2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6437EAD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29CFF92A">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7440686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1187" w:type="dxa"/>
            <w:vAlign w:val="top"/>
          </w:tcPr>
          <w:p w14:paraId="267B701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tc>
        <w:tc>
          <w:tcPr>
            <w:tcW w:w="1187" w:type="dxa"/>
            <w:vAlign w:val="top"/>
          </w:tcPr>
          <w:p w14:paraId="5EA89C0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5B2C182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75E4A78D">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63365C0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2764EB4B">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1187" w:type="dxa"/>
            <w:vAlign w:val="top"/>
          </w:tcPr>
          <w:p w14:paraId="5D39727E">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636A358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w:t>
      </w:r>
    </w:p>
    <w:p w14:paraId="7CDC4AD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 “采购文件规定的商务条件”项下填写的内容应与招标文件中采购需求的 “商务要求”的内容保持一致。</w:t>
      </w:r>
    </w:p>
    <w:p w14:paraId="30DC17A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 投标人应当如实填写上表“投标文件响应的具体内容”处内容，对采购文件规定的商务条件作出明确响应，并列明具体响应数值或内容，只注明符合、满足等无具体内容表述的，将视为未实质性满足招标文件要求。投标人需要说明的内容若需特殊表达，应先在本表中进行相应说明，再另页应答，否则投标无效。</w:t>
      </w:r>
    </w:p>
    <w:p w14:paraId="73B2A2F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 参数性质栏目按招标文件有标注的“★”、“▲”号条款进行填写，打“★”号条款为实质性条款，若有任何一条负偏离或不满足则导致投标无效。打“▲”号条款为重要技术参数（如有），若有部分“▲”条款未响应或不满足，将根据评审要求影响其得分，但不作为无效投标条款。</w:t>
      </w:r>
    </w:p>
    <w:p w14:paraId="34467F3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 “是否偏离”项下应按下列规定填写：优于的，填写“正偏离”；符合的，填写“无偏离”；低于的，填写“负偏离”。</w:t>
      </w:r>
    </w:p>
    <w:p w14:paraId="67F0D95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5.“备注”处可填写偏离情况的说明。</w:t>
      </w:r>
    </w:p>
    <w:p w14:paraId="5E83737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A1941C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163106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EF72C2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B39962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129A5D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F75A16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5D5DE5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96648A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311440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747C82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DBED6E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5A4FE1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B69F4D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84A5C9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81B0B5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5A6DF5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8E1D47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2763C7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7D8FE3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7AF13B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67CBFE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573391E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A9EAA9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FB0D88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F2C7E5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301595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F2EE9C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2AC57B1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E4A2C4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C9FB2D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w:t>
      </w:r>
      <w:r>
        <w:rPr>
          <w:rFonts w:hint="eastAsia" w:ascii="宋体" w:hAnsi="宋体" w:eastAsia="宋体" w:cs="宋体"/>
          <w:b/>
          <w:color w:val="auto"/>
          <w:sz w:val="21"/>
          <w:szCs w:val="21"/>
          <w:highlight w:val="none"/>
          <w:lang w:val="en-US" w:eastAsia="zh-CN"/>
        </w:rPr>
        <w:t>二十</w:t>
      </w:r>
      <w:r>
        <w:rPr>
          <w:rFonts w:hint="eastAsia" w:ascii="宋体" w:hAnsi="宋体" w:eastAsia="宋体" w:cs="宋体"/>
          <w:b/>
          <w:color w:val="auto"/>
          <w:sz w:val="21"/>
          <w:szCs w:val="21"/>
          <w:highlight w:val="none"/>
        </w:rPr>
        <w:t>：</w:t>
      </w:r>
    </w:p>
    <w:p w14:paraId="3890D71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381CC649">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履约进度计划表</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2267"/>
        <w:gridCol w:w="2268"/>
        <w:gridCol w:w="2268"/>
        <w:gridCol w:w="2268"/>
      </w:tblGrid>
      <w:tr w14:paraId="527D57B5">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658D1BD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2076" w:type="dxa"/>
            <w:vAlign w:val="top"/>
          </w:tcPr>
          <w:p w14:paraId="1C97E9D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拟定时间安排</w:t>
            </w:r>
          </w:p>
        </w:tc>
        <w:tc>
          <w:tcPr>
            <w:tcW w:w="2076" w:type="dxa"/>
            <w:vAlign w:val="top"/>
          </w:tcPr>
          <w:p w14:paraId="46A1238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计划完成的工作内容</w:t>
            </w:r>
          </w:p>
        </w:tc>
        <w:tc>
          <w:tcPr>
            <w:tcW w:w="2076" w:type="dxa"/>
            <w:vAlign w:val="top"/>
          </w:tcPr>
          <w:p w14:paraId="36F40E3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实施方建议或要求</w:t>
            </w:r>
          </w:p>
        </w:tc>
      </w:tr>
      <w:tr w14:paraId="1BE9B6E7">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277A56E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w:t>
            </w:r>
          </w:p>
        </w:tc>
        <w:tc>
          <w:tcPr>
            <w:tcW w:w="2076" w:type="dxa"/>
            <w:vAlign w:val="top"/>
          </w:tcPr>
          <w:p w14:paraId="76828CA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拟定___年___月___日</w:t>
            </w:r>
          </w:p>
        </w:tc>
        <w:tc>
          <w:tcPr>
            <w:tcW w:w="2076" w:type="dxa"/>
            <w:vAlign w:val="top"/>
          </w:tcPr>
          <w:p w14:paraId="5F90CF7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签订合同并生效</w:t>
            </w:r>
          </w:p>
        </w:tc>
        <w:tc>
          <w:tcPr>
            <w:tcW w:w="2076" w:type="dxa"/>
            <w:vAlign w:val="top"/>
          </w:tcPr>
          <w:p w14:paraId="2E8D75B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636A9F1E">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487F17CF">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w:t>
            </w:r>
          </w:p>
        </w:tc>
        <w:tc>
          <w:tcPr>
            <w:tcW w:w="2076" w:type="dxa"/>
            <w:vAlign w:val="top"/>
          </w:tcPr>
          <w:p w14:paraId="5C2E52F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___月___日—___月___日</w:t>
            </w:r>
          </w:p>
        </w:tc>
        <w:tc>
          <w:tcPr>
            <w:tcW w:w="2076" w:type="dxa"/>
            <w:vAlign w:val="top"/>
          </w:tcPr>
          <w:p w14:paraId="76769577">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076" w:type="dxa"/>
            <w:vAlign w:val="top"/>
          </w:tcPr>
          <w:p w14:paraId="14051E4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01CCAB14">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3193378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w:t>
            </w:r>
          </w:p>
        </w:tc>
        <w:tc>
          <w:tcPr>
            <w:tcW w:w="2076" w:type="dxa"/>
            <w:vAlign w:val="top"/>
          </w:tcPr>
          <w:p w14:paraId="12FE7FE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___月___日—___月___日</w:t>
            </w:r>
          </w:p>
        </w:tc>
        <w:tc>
          <w:tcPr>
            <w:tcW w:w="2076" w:type="dxa"/>
            <w:vAlign w:val="top"/>
          </w:tcPr>
          <w:p w14:paraId="4D0D4939">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c>
          <w:tcPr>
            <w:tcW w:w="2076" w:type="dxa"/>
            <w:vAlign w:val="top"/>
          </w:tcPr>
          <w:p w14:paraId="1C2A653C">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504369D6">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2076" w:type="dxa"/>
            <w:vAlign w:val="top"/>
          </w:tcPr>
          <w:p w14:paraId="05D1A83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4</w:t>
            </w:r>
          </w:p>
        </w:tc>
        <w:tc>
          <w:tcPr>
            <w:tcW w:w="2076" w:type="dxa"/>
            <w:vAlign w:val="top"/>
          </w:tcPr>
          <w:p w14:paraId="54BAFAB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___月___日—___月___日</w:t>
            </w:r>
          </w:p>
        </w:tc>
        <w:tc>
          <w:tcPr>
            <w:tcW w:w="2076" w:type="dxa"/>
            <w:vAlign w:val="top"/>
          </w:tcPr>
          <w:p w14:paraId="4647645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质保期</w:t>
            </w:r>
          </w:p>
        </w:tc>
        <w:tc>
          <w:tcPr>
            <w:tcW w:w="2076" w:type="dxa"/>
            <w:vAlign w:val="top"/>
          </w:tcPr>
          <w:p w14:paraId="4EB475EF">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5CA58DD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2FFE975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78EE14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0BC263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00756E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14209E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422D32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EB68B8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4CBAA8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A2E412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39D4AC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C51FD0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E3A7B3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708355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28CD42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8A73AC5">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005B40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9E1DB1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FC0999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格式二十</w:t>
      </w:r>
      <w:r>
        <w:rPr>
          <w:rFonts w:hint="eastAsia" w:ascii="宋体" w:hAnsi="宋体" w:eastAsia="宋体" w:cs="宋体"/>
          <w:b/>
          <w:color w:val="auto"/>
          <w:sz w:val="21"/>
          <w:szCs w:val="21"/>
          <w:highlight w:val="none"/>
          <w:lang w:val="en-US" w:eastAsia="zh-CN"/>
        </w:rPr>
        <w:t>一</w:t>
      </w:r>
      <w:r>
        <w:rPr>
          <w:rFonts w:hint="eastAsia" w:ascii="宋体" w:hAnsi="宋体" w:eastAsia="宋体" w:cs="宋体"/>
          <w:b/>
          <w:color w:val="auto"/>
          <w:sz w:val="21"/>
          <w:szCs w:val="21"/>
          <w:highlight w:val="none"/>
        </w:rPr>
        <w:t>：</w:t>
      </w:r>
    </w:p>
    <w:p w14:paraId="04CFF80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344E6E7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各类证明材料</w:t>
      </w:r>
    </w:p>
    <w:p w14:paraId="690C057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1.招标文件要求提供的其他资料。</w:t>
      </w:r>
    </w:p>
    <w:p w14:paraId="4C000BA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2.投标人认为需提供的其他资料。</w:t>
      </w:r>
    </w:p>
    <w:p w14:paraId="03BC0F9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7DB9EAF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ABFAC8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7A6C88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E569B0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3BB25D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B8D301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A36A62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01724D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4A3695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1CBE74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DA2F21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5E33FD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D2DE5D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505F54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7635D1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17904C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C1720C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A2CE39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F8ECD2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438000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3C91DD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B0F73B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4BF1CAF8">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C81220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BBFFCA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5F6DE9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格式二十</w:t>
      </w:r>
      <w:r>
        <w:rPr>
          <w:rFonts w:hint="eastAsia" w:ascii="宋体" w:hAnsi="宋体" w:eastAsia="宋体" w:cs="宋体"/>
          <w:b/>
          <w:color w:val="auto"/>
          <w:sz w:val="21"/>
          <w:szCs w:val="21"/>
          <w:highlight w:val="none"/>
          <w:lang w:val="en-US" w:eastAsia="zh-CN"/>
        </w:rPr>
        <w:t>二</w:t>
      </w:r>
      <w:r>
        <w:rPr>
          <w:rFonts w:hint="eastAsia" w:ascii="宋体" w:hAnsi="宋体" w:eastAsia="宋体" w:cs="宋体"/>
          <w:b/>
          <w:color w:val="auto"/>
          <w:sz w:val="21"/>
          <w:szCs w:val="21"/>
          <w:highlight w:val="none"/>
        </w:rPr>
        <w:t>：</w:t>
      </w:r>
    </w:p>
    <w:p w14:paraId="18798B7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采购代理服务费支付承诺书</w:t>
      </w:r>
    </w:p>
    <w:p w14:paraId="467F7B6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rPr>
        <w:t>致：</w:t>
      </w:r>
      <w:r>
        <w:rPr>
          <w:rFonts w:hint="eastAsia" w:ascii="宋体" w:hAnsi="宋体" w:eastAsia="宋体" w:cs="宋体"/>
          <w:color w:val="auto"/>
          <w:sz w:val="21"/>
          <w:szCs w:val="21"/>
          <w:highlight w:val="none"/>
          <w:lang w:eastAsia="zh-CN"/>
        </w:rPr>
        <w:t>阳江市投源招标采购有限公司</w:t>
      </w:r>
    </w:p>
    <w:p w14:paraId="66C8C5A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如果我方在贵采购代理机构组织的</w:t>
      </w:r>
      <w:r>
        <w:rPr>
          <w:rFonts w:hint="eastAsia" w:ascii="宋体" w:hAnsi="宋体" w:eastAsia="宋体" w:cs="宋体"/>
          <w:color w:val="auto"/>
          <w:sz w:val="21"/>
          <w:szCs w:val="21"/>
          <w:highlight w:val="none"/>
          <w:lang w:eastAsia="zh-CN"/>
        </w:rPr>
        <w:t>阳江市托育综合服务中心智慧托育管理平台软件与硬件项目</w:t>
      </w:r>
      <w:r>
        <w:rPr>
          <w:rFonts w:hint="eastAsia" w:ascii="宋体" w:hAnsi="宋体" w:eastAsia="宋体" w:cs="宋体"/>
          <w:color w:val="auto"/>
          <w:sz w:val="21"/>
          <w:szCs w:val="21"/>
          <w:highlight w:val="none"/>
        </w:rPr>
        <w:t>招标中获中标（采购项目编号：</w:t>
      </w:r>
      <w:r>
        <w:rPr>
          <w:rFonts w:hint="eastAsia" w:ascii="宋体" w:hAnsi="宋体" w:eastAsia="宋体" w:cs="宋体"/>
          <w:color w:val="auto"/>
          <w:sz w:val="21"/>
          <w:szCs w:val="21"/>
          <w:highlight w:val="none"/>
          <w:lang w:eastAsia="zh-CN"/>
        </w:rPr>
        <w:t>YJYT20260929</w:t>
      </w:r>
      <w:r>
        <w:rPr>
          <w:rFonts w:hint="eastAsia" w:ascii="宋体" w:hAnsi="宋体" w:eastAsia="宋体" w:cs="宋体"/>
          <w:color w:val="auto"/>
          <w:sz w:val="21"/>
          <w:szCs w:val="21"/>
          <w:highlight w:val="none"/>
        </w:rPr>
        <w:t>），我方保证在收取《中标通知书》</w:t>
      </w:r>
      <w:r>
        <w:rPr>
          <w:rFonts w:hint="eastAsia" w:ascii="宋体" w:hAnsi="宋体" w:eastAsia="宋体" w:cs="宋体"/>
          <w:color w:val="auto"/>
          <w:sz w:val="21"/>
          <w:szCs w:val="21"/>
          <w:highlight w:val="none"/>
          <w:lang w:val="en-US" w:eastAsia="zh-CN"/>
        </w:rPr>
        <w:t>前</w:t>
      </w:r>
      <w:r>
        <w:rPr>
          <w:rFonts w:hint="eastAsia" w:ascii="宋体" w:hAnsi="宋体" w:eastAsia="宋体" w:cs="宋体"/>
          <w:color w:val="auto"/>
          <w:sz w:val="21"/>
          <w:szCs w:val="21"/>
          <w:highlight w:val="none"/>
        </w:rPr>
        <w:t>，按招标文件对代理服务费支付方式的约定，承担本项目代理服务费。</w:t>
      </w:r>
    </w:p>
    <w:p w14:paraId="3528372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 xml:space="preserve"> 我方如违约，</w:t>
      </w:r>
      <w:r>
        <w:rPr>
          <w:rFonts w:hint="eastAsia" w:ascii="宋体" w:hAnsi="宋体" w:eastAsia="宋体" w:cs="宋体"/>
          <w:color w:val="auto"/>
          <w:sz w:val="21"/>
          <w:szCs w:val="21"/>
          <w:highlight w:val="none"/>
          <w:lang w:val="en-US" w:eastAsia="zh-CN"/>
        </w:rPr>
        <w:t>愿承担</w:t>
      </w:r>
      <w:r>
        <w:rPr>
          <w:rFonts w:hint="eastAsia" w:ascii="宋体" w:hAnsi="宋体" w:eastAsia="宋体" w:cs="宋体"/>
          <w:color w:val="auto"/>
          <w:sz w:val="21"/>
          <w:szCs w:val="21"/>
          <w:highlight w:val="none"/>
        </w:rPr>
        <w:t>贵单位</w:t>
      </w:r>
      <w:r>
        <w:rPr>
          <w:rFonts w:hint="eastAsia" w:ascii="宋体" w:hAnsi="宋体" w:eastAsia="宋体" w:cs="宋体"/>
          <w:color w:val="auto"/>
          <w:sz w:val="21"/>
          <w:szCs w:val="21"/>
          <w:highlight w:val="none"/>
          <w:lang w:val="en-US" w:eastAsia="zh-CN"/>
        </w:rPr>
        <w:t>为维护权益向我方追偿的一切费用（包括但不限于律师费、诉讼费、保全费、交通费、差旅费、鉴定费等）均由违约方承担。</w:t>
      </w:r>
    </w:p>
    <w:p w14:paraId="1480248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以下联系地址可作为送达催款函、对账单、法院送达诉讼文书的地址。因联系地址有误或未及时告知变更后的地址，导致相关文书及诉讼文书未能实际被接收或邮寄送达的，相关文书及诉讼文书退回之日即视为送达之日。</w:t>
      </w:r>
    </w:p>
    <w:p w14:paraId="5CEE59F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特此承诺！</w:t>
      </w:r>
    </w:p>
    <w:p w14:paraId="49C500A4">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投标人法定名称（公章）；_____________________</w:t>
      </w:r>
    </w:p>
    <w:p w14:paraId="36D19643">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投标人法定地址：_____________________</w:t>
      </w:r>
    </w:p>
    <w:p w14:paraId="2CA0898A">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投标人授权代表（签字或盖章）：_____________________</w:t>
      </w:r>
    </w:p>
    <w:p w14:paraId="671934E8">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 话：_____________________</w:t>
      </w:r>
    </w:p>
    <w:p w14:paraId="7462B3D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 真：_____________________</w:t>
      </w:r>
    </w:p>
    <w:p w14:paraId="050E88E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承诺日期：_____________________</w:t>
      </w:r>
    </w:p>
    <w:p w14:paraId="44E8E64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255A70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00B32F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BE2235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7B13B9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3CDCD4F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0A53832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1ADC448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59FDC8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55319FF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FAE2DA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7BF6B25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4C87A0B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p>
    <w:p w14:paraId="612CBE1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格式二十</w:t>
      </w:r>
      <w:r>
        <w:rPr>
          <w:rFonts w:hint="eastAsia" w:ascii="宋体" w:hAnsi="宋体" w:eastAsia="宋体" w:cs="宋体"/>
          <w:b/>
          <w:color w:val="auto"/>
          <w:sz w:val="21"/>
          <w:szCs w:val="21"/>
          <w:highlight w:val="none"/>
          <w:lang w:val="en-US" w:eastAsia="zh-CN"/>
        </w:rPr>
        <w:t>三</w:t>
      </w:r>
      <w:r>
        <w:rPr>
          <w:rFonts w:hint="eastAsia" w:ascii="宋体" w:hAnsi="宋体" w:eastAsia="宋体" w:cs="宋体"/>
          <w:b/>
          <w:color w:val="auto"/>
          <w:sz w:val="21"/>
          <w:szCs w:val="21"/>
          <w:highlight w:val="none"/>
        </w:rPr>
        <w:t>：</w:t>
      </w:r>
    </w:p>
    <w:p w14:paraId="5D892B8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6A0EBEF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需要采购人提供的附加条件</w:t>
      </w:r>
    </w:p>
    <w:tbl>
      <w:tblPr>
        <w:tblStyle w:val="37"/>
        <w:tblW w:w="9071" w:type="dxa"/>
        <w:jc w:val="center"/>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Layout w:type="autofit"/>
        <w:tblCellMar>
          <w:top w:w="0" w:type="dxa"/>
          <w:left w:w="108" w:type="dxa"/>
          <w:bottom w:w="0" w:type="dxa"/>
          <w:right w:w="108" w:type="dxa"/>
        </w:tblCellMar>
      </w:tblPr>
      <w:tblGrid>
        <w:gridCol w:w="4535"/>
        <w:gridCol w:w="4536"/>
      </w:tblGrid>
      <w:tr w14:paraId="0F2DBB88">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2FFE4CB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序号</w:t>
            </w:r>
          </w:p>
        </w:tc>
        <w:tc>
          <w:tcPr>
            <w:tcW w:w="4153" w:type="dxa"/>
            <w:vAlign w:val="top"/>
          </w:tcPr>
          <w:p w14:paraId="5E5AECF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投标人需要采购人提供的附加条件</w:t>
            </w:r>
          </w:p>
        </w:tc>
      </w:tr>
      <w:tr w14:paraId="6EB1264D">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01DA34F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1</w:t>
            </w:r>
          </w:p>
        </w:tc>
        <w:tc>
          <w:tcPr>
            <w:tcW w:w="4153" w:type="dxa"/>
            <w:vAlign w:val="top"/>
          </w:tcPr>
          <w:p w14:paraId="0356A766">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1294700C">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4BF4F3B">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w:t>
            </w:r>
          </w:p>
        </w:tc>
        <w:tc>
          <w:tcPr>
            <w:tcW w:w="4153" w:type="dxa"/>
            <w:vAlign w:val="top"/>
          </w:tcPr>
          <w:p w14:paraId="2278FB6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r w14:paraId="739B44E0">
        <w:tblPrEx>
          <w:tblBorders>
            <w:top w:val="single" w:color="auto" w:sz="0" w:space="0"/>
            <w:left w:val="single" w:color="auto" w:sz="0" w:space="0"/>
            <w:bottom w:val="single" w:color="auto" w:sz="0" w:space="0"/>
            <w:right w:val="single" w:color="auto" w:sz="0" w:space="0"/>
            <w:insideH w:val="single" w:color="auto" w:sz="0" w:space="0"/>
            <w:insideV w:val="single" w:color="auto" w:sz="0" w:space="0"/>
          </w:tblBorders>
          <w:tblCellMar>
            <w:top w:w="0" w:type="dxa"/>
            <w:left w:w="108" w:type="dxa"/>
            <w:bottom w:w="0" w:type="dxa"/>
            <w:right w:w="108" w:type="dxa"/>
          </w:tblCellMar>
        </w:tblPrEx>
        <w:trPr>
          <w:jc w:val="center"/>
        </w:trPr>
        <w:tc>
          <w:tcPr>
            <w:tcW w:w="4153" w:type="dxa"/>
            <w:vAlign w:val="top"/>
          </w:tcPr>
          <w:p w14:paraId="62B19BF0">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3</w:t>
            </w:r>
          </w:p>
        </w:tc>
        <w:tc>
          <w:tcPr>
            <w:tcW w:w="4153" w:type="dxa"/>
            <w:vAlign w:val="top"/>
          </w:tcPr>
          <w:p w14:paraId="10BC8752">
            <w:pPr>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p>
        </w:tc>
      </w:tr>
    </w:tbl>
    <w:p w14:paraId="342F17F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注：投标人完成本项目需要采购人配合或提供的条件必须在上表列出，否则将视为投标人同意按现有条件完成本项目。如上表所列附加条件含有采购人不能接受的，将被视为投标无效。</w:t>
      </w:r>
    </w:p>
    <w:p w14:paraId="39BCE1E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FF8D32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81F556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116194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C096DB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61169F5D">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0293A5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F64FC1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4B6676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8758A2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4EC137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69B8BB6">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47274EB">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405721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57F5AB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FD340F2">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88E2C4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0BAF0D30">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3233F911">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00122E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格式二十</w:t>
      </w:r>
      <w:r>
        <w:rPr>
          <w:rFonts w:hint="eastAsia" w:ascii="宋体" w:hAnsi="宋体" w:eastAsia="宋体" w:cs="宋体"/>
          <w:b/>
          <w:color w:val="auto"/>
          <w:sz w:val="21"/>
          <w:szCs w:val="21"/>
          <w:highlight w:val="none"/>
          <w:lang w:val="en-US" w:eastAsia="zh-CN"/>
        </w:rPr>
        <w:t>四</w:t>
      </w:r>
      <w:r>
        <w:rPr>
          <w:rFonts w:hint="eastAsia" w:ascii="宋体" w:hAnsi="宋体" w:eastAsia="宋体" w:cs="宋体"/>
          <w:b/>
          <w:color w:val="auto"/>
          <w:sz w:val="21"/>
          <w:szCs w:val="21"/>
          <w:highlight w:val="none"/>
        </w:rPr>
        <w:t>：</w:t>
      </w:r>
    </w:p>
    <w:p w14:paraId="445FB1D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10643D9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1"/>
          <w:szCs w:val="21"/>
          <w:highlight w:val="none"/>
        </w:rPr>
      </w:pPr>
      <w:r>
        <w:rPr>
          <w:rFonts w:hint="eastAsia" w:ascii="宋体" w:hAnsi="宋体" w:eastAsia="宋体" w:cs="宋体"/>
          <w:b/>
          <w:color w:val="auto"/>
          <w:sz w:val="28"/>
          <w:szCs w:val="28"/>
          <w:highlight w:val="none"/>
        </w:rPr>
        <w:t>询问函、质疑函、投诉书格式</w:t>
      </w:r>
    </w:p>
    <w:p w14:paraId="6E4A486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说明：本部分格式为投标人提交询问函、质疑函、投诉函时使用，不属于投标文件格式的组成部分。</w:t>
      </w:r>
    </w:p>
    <w:p w14:paraId="2B2C3D1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询问函</w:t>
      </w:r>
    </w:p>
    <w:p w14:paraId="0DCE3861">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阳江市投源招标采购有限公司</w:t>
      </w:r>
    </w:p>
    <w:p w14:paraId="3E34DEB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我单位已登记并准备参与“</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”项目（采购项目编号：</w:t>
      </w:r>
      <w:r>
        <w:rPr>
          <w:rFonts w:hint="eastAsia" w:ascii="宋体" w:hAnsi="宋体" w:eastAsia="宋体" w:cs="宋体"/>
          <w:color w:val="auto"/>
          <w:sz w:val="21"/>
          <w:szCs w:val="21"/>
          <w:highlight w:val="none"/>
          <w:u w:val="single"/>
          <w:lang w:val="en-US" w:eastAsia="zh-CN"/>
        </w:rPr>
        <w:t xml:space="preserve">          </w:t>
      </w:r>
      <w:r>
        <w:rPr>
          <w:rFonts w:hint="eastAsia" w:ascii="宋体" w:hAnsi="宋体" w:eastAsia="宋体" w:cs="宋体"/>
          <w:color w:val="auto"/>
          <w:sz w:val="21"/>
          <w:szCs w:val="21"/>
          <w:highlight w:val="none"/>
        </w:rPr>
        <w:t>）的投标活动，现有以下几个内容（或条款）存在疑问（或无法理解），特提出询问。</w:t>
      </w:r>
    </w:p>
    <w:p w14:paraId="089A892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一、_____________________（事项一）</w:t>
      </w:r>
    </w:p>
    <w:p w14:paraId="3435C8E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（1）____________________（问题或条款内容）</w:t>
      </w:r>
    </w:p>
    <w:p w14:paraId="37D68282">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（2）____________________（说明疑问或无法理解原因）</w:t>
      </w:r>
    </w:p>
    <w:p w14:paraId="2F159E5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（3）____________________（建议）</w:t>
      </w:r>
    </w:p>
    <w:p w14:paraId="0668558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二、_____________________（事项二）</w:t>
      </w:r>
    </w:p>
    <w:p w14:paraId="10722D9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6BFAB9C">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随附相关证明材料如下：（目录）</w:t>
      </w:r>
    </w:p>
    <w:p w14:paraId="074D9459">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询问人（公章）：_____________________</w:t>
      </w:r>
    </w:p>
    <w:p w14:paraId="6186A9A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法定代表人或授权代表（签字或盖章）：_____________________</w:t>
      </w:r>
    </w:p>
    <w:p w14:paraId="3A0321E7">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地址/邮编：_____________________</w:t>
      </w:r>
    </w:p>
    <w:p w14:paraId="2DBAC336">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电话/传真：_____________________</w:t>
      </w:r>
    </w:p>
    <w:p w14:paraId="777FB67E">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044E94D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41F9BA1">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00E3BAC3">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20DA2A8D">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7A549E8F">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5164F8B5">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3B80096B">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0A083C3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60117CA0">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36D6C8EA">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358851D6">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b/>
          <w:color w:val="auto"/>
          <w:sz w:val="21"/>
          <w:szCs w:val="21"/>
          <w:highlight w:val="none"/>
        </w:rPr>
      </w:pPr>
    </w:p>
    <w:p w14:paraId="754B8C7C">
      <w:pPr>
        <w:pStyle w:val="174"/>
        <w:keepNext w:val="0"/>
        <w:keepLines w:val="0"/>
        <w:pageBreakBefore w:val="0"/>
        <w:shd w:val="clear"/>
        <w:kinsoku/>
        <w:wordWrap/>
        <w:overflowPunct/>
        <w:topLinePunct w:val="0"/>
        <w:autoSpaceDE/>
        <w:autoSpaceDN/>
        <w:bidi w:val="0"/>
        <w:adjustRightInd/>
        <w:snapToGrid/>
        <w:spacing w:line="360" w:lineRule="auto"/>
        <w:jc w:val="center"/>
        <w:textAlignment w:val="auto"/>
        <w:outlineLvl w:val="3"/>
        <w:rPr>
          <w:rFonts w:hint="eastAsia" w:ascii="宋体" w:hAnsi="宋体" w:eastAsia="宋体" w:cs="宋体"/>
          <w:color w:val="auto"/>
          <w:sz w:val="28"/>
          <w:szCs w:val="28"/>
          <w:highlight w:val="none"/>
        </w:rPr>
      </w:pPr>
      <w:r>
        <w:rPr>
          <w:rFonts w:hint="eastAsia" w:ascii="宋体" w:hAnsi="宋体" w:eastAsia="宋体" w:cs="宋体"/>
          <w:b/>
          <w:color w:val="auto"/>
          <w:sz w:val="28"/>
          <w:szCs w:val="28"/>
          <w:highlight w:val="none"/>
        </w:rPr>
        <w:t>质疑函</w:t>
      </w:r>
    </w:p>
    <w:p w14:paraId="7E5B99F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一、质疑供应商基本信息</w:t>
      </w:r>
    </w:p>
    <w:p w14:paraId="0A671E75">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质疑供应商：</w:t>
      </w:r>
    </w:p>
    <w:p w14:paraId="7469D32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地址：_____________________邮编：_____________________</w:t>
      </w:r>
    </w:p>
    <w:p w14:paraId="4CFC337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联系：_____________________联系电话：_____________________</w:t>
      </w:r>
    </w:p>
    <w:p w14:paraId="041073C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授权代表：_____________________</w:t>
      </w:r>
    </w:p>
    <w:p w14:paraId="1A1BCCB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联系电话：_____________________</w:t>
      </w:r>
    </w:p>
    <w:p w14:paraId="5940BAA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地址：_____________________邮编：_____________________</w:t>
      </w:r>
    </w:p>
    <w:p w14:paraId="6515654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二、质疑项目基本情况</w:t>
      </w:r>
    </w:p>
    <w:p w14:paraId="57E227F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质疑项目的名称：_____________________</w:t>
      </w:r>
    </w:p>
    <w:p w14:paraId="4E94A4F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质疑项目的编号：_____________________ 包号：_____________________</w:t>
      </w:r>
    </w:p>
    <w:p w14:paraId="180BF71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采购人名称：_____________________</w:t>
      </w:r>
    </w:p>
    <w:p w14:paraId="548A5F3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采购文件获取日期：_____________________</w:t>
      </w:r>
    </w:p>
    <w:p w14:paraId="0B7BC2B9">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三、质疑事项具体内容</w:t>
      </w:r>
    </w:p>
    <w:p w14:paraId="47B7DC8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质疑事项1：_____________________</w:t>
      </w:r>
    </w:p>
    <w:p w14:paraId="5F8F559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事实依据：_____________________</w:t>
      </w:r>
    </w:p>
    <w:p w14:paraId="4E3EA1FD">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法律依据：_____________________</w:t>
      </w:r>
    </w:p>
    <w:p w14:paraId="1730463B">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质疑事项2：_____________________</w:t>
      </w:r>
    </w:p>
    <w:p w14:paraId="34382F3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p w14:paraId="5F79725F">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四、与质疑事项相关的质疑请求</w:t>
      </w:r>
    </w:p>
    <w:p w14:paraId="6AA6DFA8">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请求：__________________________________________</w:t>
      </w:r>
    </w:p>
    <w:p w14:paraId="40E11EB5">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签字(签章)：_____________________ 公章：_____________________</w:t>
      </w:r>
    </w:p>
    <w:p w14:paraId="1B482472">
      <w:pPr>
        <w:pStyle w:val="174"/>
        <w:keepNext w:val="0"/>
        <w:keepLines w:val="0"/>
        <w:pageBreakBefore w:val="0"/>
        <w:shd w:val="clear"/>
        <w:kinsoku/>
        <w:wordWrap/>
        <w:overflowPunct/>
        <w:topLinePunct w:val="0"/>
        <w:autoSpaceDE/>
        <w:autoSpaceDN/>
        <w:bidi w:val="0"/>
        <w:adjustRightInd/>
        <w:snapToGrid/>
        <w:spacing w:line="360" w:lineRule="auto"/>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日期： 年 月 日</w:t>
      </w:r>
    </w:p>
    <w:p w14:paraId="10B51D8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质疑函制作说明：</w:t>
      </w:r>
    </w:p>
    <w:p w14:paraId="575A6287">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1.供应商提出质疑时，应提交质疑函和必要的证明材料。</w:t>
      </w:r>
    </w:p>
    <w:p w14:paraId="432D4374">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46A66F9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3.质疑供应商若对项目的某一分包进行质疑，质疑函中应列明具体采购包号。</w:t>
      </w:r>
    </w:p>
    <w:p w14:paraId="14C4A32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4.质疑函的质疑事项应具体、明确，并有必要的事实依据和法律依据。</w:t>
      </w:r>
    </w:p>
    <w:p w14:paraId="07EF5A8A">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5.质疑函的质疑请求应与质疑事项相关。</w:t>
      </w:r>
    </w:p>
    <w:p w14:paraId="2738688E">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6.质疑供应商为自然人的，质疑函应由本人签字；质疑供应商为法人或者其他组织的，质疑函应由法定代表人、主要负责人，或者其授权代表签字或者盖章，并加盖公章。</w:t>
      </w:r>
    </w:p>
    <w:p w14:paraId="0AF9B3B6">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1931245F">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18DCC14C">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7C8AF0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549E5149">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925723A">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43A9294">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69EA163">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7F356E5E">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b/>
          <w:color w:val="auto"/>
          <w:sz w:val="21"/>
          <w:szCs w:val="21"/>
          <w:highlight w:val="none"/>
        </w:rPr>
      </w:pPr>
    </w:p>
    <w:p w14:paraId="2278F227">
      <w:pPr>
        <w:pStyle w:val="174"/>
        <w:keepNext w:val="0"/>
        <w:keepLines w:val="0"/>
        <w:pageBreakBefore w:val="0"/>
        <w:shd w:val="clear"/>
        <w:kinsoku/>
        <w:wordWrap/>
        <w:overflowPunct/>
        <w:topLinePunct w:val="0"/>
        <w:autoSpaceDE/>
        <w:autoSpaceDN/>
        <w:bidi w:val="0"/>
        <w:adjustRightInd/>
        <w:snapToGrid/>
        <w:spacing w:line="360" w:lineRule="auto"/>
        <w:textAlignment w:val="auto"/>
        <w:outlineLvl w:val="2"/>
        <w:rPr>
          <w:rFonts w:hint="eastAsia" w:ascii="宋体" w:hAnsi="宋体" w:eastAsia="宋体" w:cs="宋体"/>
          <w:color w:val="auto"/>
          <w:sz w:val="21"/>
          <w:szCs w:val="21"/>
          <w:highlight w:val="none"/>
        </w:rPr>
      </w:pPr>
      <w:r>
        <w:rPr>
          <w:rFonts w:hint="eastAsia" w:ascii="宋体" w:hAnsi="宋体" w:eastAsia="宋体" w:cs="宋体"/>
          <w:b/>
          <w:color w:val="auto"/>
          <w:sz w:val="21"/>
          <w:szCs w:val="21"/>
          <w:highlight w:val="none"/>
        </w:rPr>
        <w:t>格式二十</w:t>
      </w:r>
      <w:r>
        <w:rPr>
          <w:rFonts w:hint="eastAsia" w:ascii="宋体" w:hAnsi="宋体" w:eastAsia="宋体" w:cs="宋体"/>
          <w:b/>
          <w:color w:val="auto"/>
          <w:sz w:val="21"/>
          <w:szCs w:val="21"/>
          <w:highlight w:val="none"/>
          <w:lang w:val="en-US" w:eastAsia="zh-CN"/>
        </w:rPr>
        <w:t>五</w:t>
      </w:r>
      <w:r>
        <w:rPr>
          <w:rFonts w:hint="eastAsia" w:ascii="宋体" w:hAnsi="宋体" w:eastAsia="宋体" w:cs="宋体"/>
          <w:b/>
          <w:color w:val="auto"/>
          <w:sz w:val="21"/>
          <w:szCs w:val="21"/>
          <w:highlight w:val="none"/>
        </w:rPr>
        <w:t>：</w:t>
      </w:r>
    </w:p>
    <w:p w14:paraId="0E4751E3">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（以下格式文件由供应商根据需要选用）</w:t>
      </w:r>
    </w:p>
    <w:p w14:paraId="488286C0">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项目实施方案、质量保证及售后服务承诺等内容和格式自拟。</w:t>
      </w:r>
    </w:p>
    <w:p w14:paraId="2D201C31">
      <w:pPr>
        <w:pStyle w:val="174"/>
        <w:keepNext w:val="0"/>
        <w:keepLines w:val="0"/>
        <w:pageBreakBefore w:val="0"/>
        <w:shd w:val="clear"/>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 xml:space="preserve">  </w:t>
      </w:r>
    </w:p>
    <w:p w14:paraId="6430B5F2">
      <w:pPr>
        <w:rPr>
          <w:rFonts w:hint="eastAsia" w:ascii="仿宋" w:hAnsi="仿宋" w:eastAsia="仿宋" w:cs="仿宋"/>
          <w:color w:val="auto"/>
          <w:sz w:val="24"/>
          <w:szCs w:val="24"/>
        </w:rPr>
      </w:pPr>
    </w:p>
    <w:sectPr>
      <w:pgSz w:w="12240" w:h="15840"/>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roman"/>
    <w:pitch w:val="default"/>
    <w:sig w:usb0="E0002EFF" w:usb1="C000785B" w:usb2="00000009" w:usb3="00000000" w:csb0="400001FF" w:csb1="FFFF0000"/>
  </w:font>
  <w:font w:name="宋体">
    <w:panose1 w:val="02010600030101010101"/>
    <w:charset w:val="88"/>
    <w:family w:val="modern"/>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MS Gothic">
    <w:panose1 w:val="020B0609070205080204"/>
    <w:charset w:val="80"/>
    <w:family w:val="auto"/>
    <w:pitch w:val="default"/>
    <w:sig w:usb0="E00002FF" w:usb1="6AC7FDFB" w:usb2="08000012" w:usb3="00000000" w:csb0="4002009F" w:csb1="DFD70000"/>
  </w:font>
  <w:font w:name="Courier">
    <w:altName w:val="Courier New"/>
    <w:panose1 w:val="02000500000000000000"/>
    <w:charset w:val="00"/>
    <w:family w:val="auto"/>
    <w:pitch w:val="default"/>
    <w:sig w:usb0="00000000" w:usb1="00000000" w:usb2="00000000" w:usb3="00000000" w:csb0="00000001" w:csb1="00000000"/>
  </w:font>
  <w:font w:name="ＭＳ 明朝">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Cambria">
    <w:panose1 w:val="02040503050406030204"/>
    <w:charset w:val="00"/>
    <w:family w:val="roman"/>
    <w:pitch w:val="default"/>
    <w:sig w:usb0="E00006FF" w:usb1="420024FF" w:usb2="02000000" w:usb3="00000000" w:csb0="2000019F" w:csb1="00000000"/>
  </w:font>
  <w:font w:name="微软雅黑">
    <w:panose1 w:val="020B0503020204020204"/>
    <w:charset w:val="86"/>
    <w:family w:val="auto"/>
    <w:pitch w:val="default"/>
    <w:sig w:usb0="80000287" w:usb1="2ACF3C50" w:usb2="00000016" w:usb3="00000000" w:csb0="0004001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09F89B">
    <w:pPr>
      <w:pStyle w:val="28"/>
      <w:tabs>
        <w:tab w:val="center" w:pos="4153"/>
        <w:tab w:val="right" w:pos="8306"/>
        <w:tab w:val="clear" w:pos="4680"/>
        <w:tab w:val="clear" w:pos="9360"/>
      </w:tabs>
      <w:jc w:val="center"/>
    </w:pPr>
    <w:r>
      <w:rPr>
        <w:rFonts w:hint="eastAsia"/>
        <w:kern w:val="0"/>
        <w:szCs w:val="21"/>
      </w:rPr>
      <w:t xml:space="preserve">第 </w:t>
    </w:r>
    <w:r>
      <w:rPr>
        <w:kern w:val="0"/>
        <w:szCs w:val="21"/>
      </w:rPr>
      <w:fldChar w:fldCharType="begin"/>
    </w:r>
    <w:r>
      <w:rPr>
        <w:kern w:val="0"/>
        <w:szCs w:val="21"/>
      </w:rPr>
      <w:instrText xml:space="preserve"> PAGE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 共 </w:t>
    </w:r>
    <w:r>
      <w:rPr>
        <w:kern w:val="0"/>
        <w:szCs w:val="21"/>
      </w:rPr>
      <w:fldChar w:fldCharType="begin"/>
    </w:r>
    <w:r>
      <w:rPr>
        <w:kern w:val="0"/>
        <w:szCs w:val="21"/>
      </w:rPr>
      <w:instrText xml:space="preserve"> NUMPAGES </w:instrText>
    </w:r>
    <w:r>
      <w:rPr>
        <w:kern w:val="0"/>
        <w:szCs w:val="21"/>
      </w:rPr>
      <w:fldChar w:fldCharType="separate"/>
    </w:r>
    <w:r>
      <w:rPr>
        <w:kern w:val="0"/>
        <w:szCs w:val="21"/>
      </w:rPr>
      <w:t>52</w:t>
    </w:r>
    <w:r>
      <w:rPr>
        <w:kern w:val="0"/>
        <w:szCs w:val="21"/>
      </w:rPr>
      <w:fldChar w:fldCharType="end"/>
    </w:r>
    <w:r>
      <w:rPr>
        <w:rFonts w:hint="eastAsia"/>
        <w:kern w:val="0"/>
        <w:szCs w:val="21"/>
      </w:rPr>
      <w:t xml:space="preserve"> 页</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A4E2E23">
    <w:pPr>
      <w:pStyle w:val="28"/>
      <w:tabs>
        <w:tab w:val="center" w:pos="4153"/>
        <w:tab w:val="right" w:pos="8306"/>
        <w:tab w:val="clear" w:pos="4680"/>
        <w:tab w:val="clear" w:pos="9360"/>
      </w:tabs>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09F473A">
    <w:pPr>
      <w:pStyle w:val="29"/>
      <w:tabs>
        <w:tab w:val="center" w:pos="4153"/>
        <w:tab w:val="right" w:pos="8306"/>
        <w:tab w:val="clear" w:pos="4680"/>
        <w:tab w:val="clear" w:pos="9360"/>
      </w:tabs>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A7E6FF"/>
    <w:multiLevelType w:val="singleLevel"/>
    <w:tmpl w:val="8BA7E6FF"/>
    <w:lvl w:ilvl="0" w:tentative="0">
      <w:start w:val="1"/>
      <w:numFmt w:val="decimal"/>
      <w:lvlText w:val="(%1)"/>
      <w:lvlJc w:val="left"/>
      <w:pPr>
        <w:ind w:left="425" w:hanging="425"/>
      </w:pPr>
      <w:rPr>
        <w:rFonts w:hint="default"/>
      </w:rPr>
    </w:lvl>
  </w:abstractNum>
  <w:abstractNum w:abstractNumId="1">
    <w:nsid w:val="94B36C7C"/>
    <w:multiLevelType w:val="singleLevel"/>
    <w:tmpl w:val="94B36C7C"/>
    <w:lvl w:ilvl="0" w:tentative="0">
      <w:start w:val="1"/>
      <w:numFmt w:val="decimal"/>
      <w:suff w:val="nothing"/>
      <w:lvlText w:val="%1、"/>
      <w:lvlJc w:val="left"/>
    </w:lvl>
  </w:abstractNum>
  <w:abstractNum w:abstractNumId="2">
    <w:nsid w:val="EF908A0A"/>
    <w:multiLevelType w:val="singleLevel"/>
    <w:tmpl w:val="EF908A0A"/>
    <w:lvl w:ilvl="0" w:tentative="0">
      <w:start w:val="1"/>
      <w:numFmt w:val="decimal"/>
      <w:lvlText w:val="(%1)"/>
      <w:lvlJc w:val="left"/>
      <w:pPr>
        <w:ind w:left="425" w:hanging="425"/>
      </w:pPr>
      <w:rPr>
        <w:rFonts w:hint="default"/>
      </w:rPr>
    </w:lvl>
  </w:abstractNum>
  <w:abstractNum w:abstractNumId="3">
    <w:nsid w:val="FFFFFF7E"/>
    <w:multiLevelType w:val="singleLevel"/>
    <w:tmpl w:val="FFFFFF7E"/>
    <w:lvl w:ilvl="0" w:tentative="0">
      <w:start w:val="1"/>
      <w:numFmt w:val="decimal"/>
      <w:pStyle w:val="23"/>
      <w:lvlText w:val="%1."/>
      <w:lvlJc w:val="left"/>
      <w:pPr>
        <w:tabs>
          <w:tab w:val="left" w:pos="1080"/>
        </w:tabs>
        <w:ind w:left="1080" w:hanging="360"/>
      </w:pPr>
    </w:lvl>
  </w:abstractNum>
  <w:abstractNum w:abstractNumId="4">
    <w:nsid w:val="FFFFFF7F"/>
    <w:multiLevelType w:val="singleLevel"/>
    <w:tmpl w:val="FFFFFF7F"/>
    <w:lvl w:ilvl="0" w:tentative="0">
      <w:start w:val="1"/>
      <w:numFmt w:val="decimal"/>
      <w:pStyle w:val="13"/>
      <w:lvlText w:val="%1."/>
      <w:lvlJc w:val="left"/>
      <w:pPr>
        <w:tabs>
          <w:tab w:val="left" w:pos="720"/>
        </w:tabs>
        <w:ind w:left="720" w:hanging="360"/>
      </w:pPr>
    </w:lvl>
  </w:abstractNum>
  <w:abstractNum w:abstractNumId="5">
    <w:nsid w:val="FFFFFF82"/>
    <w:multiLevelType w:val="singleLevel"/>
    <w:tmpl w:val="FFFFFF82"/>
    <w:lvl w:ilvl="0" w:tentative="0">
      <w:start w:val="1"/>
      <w:numFmt w:val="bullet"/>
      <w:pStyle w:val="21"/>
      <w:lvlText w:val=""/>
      <w:lvlJc w:val="left"/>
      <w:pPr>
        <w:tabs>
          <w:tab w:val="left" w:pos="1080"/>
        </w:tabs>
        <w:ind w:left="1080" w:hanging="360"/>
      </w:pPr>
      <w:rPr>
        <w:rFonts w:hint="default" w:ascii="Symbol" w:hAnsi="Symbol"/>
      </w:rPr>
    </w:lvl>
  </w:abstractNum>
  <w:abstractNum w:abstractNumId="6">
    <w:nsid w:val="FFFFFF83"/>
    <w:multiLevelType w:val="singleLevel"/>
    <w:tmpl w:val="FFFFFF83"/>
    <w:lvl w:ilvl="0" w:tentative="0">
      <w:start w:val="1"/>
      <w:numFmt w:val="bullet"/>
      <w:pStyle w:val="26"/>
      <w:lvlText w:val=""/>
      <w:lvlJc w:val="left"/>
      <w:pPr>
        <w:tabs>
          <w:tab w:val="left" w:pos="720"/>
        </w:tabs>
        <w:ind w:left="720" w:hanging="360"/>
      </w:pPr>
      <w:rPr>
        <w:rFonts w:hint="default" w:ascii="Symbol" w:hAnsi="Symbol"/>
      </w:rPr>
    </w:lvl>
  </w:abstractNum>
  <w:abstractNum w:abstractNumId="7">
    <w:nsid w:val="FFFFFF88"/>
    <w:multiLevelType w:val="singleLevel"/>
    <w:tmpl w:val="FFFFFF88"/>
    <w:lvl w:ilvl="0" w:tentative="0">
      <w:start w:val="1"/>
      <w:numFmt w:val="decimal"/>
      <w:pStyle w:val="14"/>
      <w:lvlText w:val="%1."/>
      <w:lvlJc w:val="left"/>
      <w:pPr>
        <w:tabs>
          <w:tab w:val="left" w:pos="360"/>
        </w:tabs>
        <w:ind w:left="360" w:hanging="360"/>
      </w:pPr>
    </w:lvl>
  </w:abstractNum>
  <w:abstractNum w:abstractNumId="8">
    <w:nsid w:val="FFFFFF89"/>
    <w:multiLevelType w:val="singleLevel"/>
    <w:tmpl w:val="FFFFFF89"/>
    <w:lvl w:ilvl="0" w:tentative="0">
      <w:start w:val="1"/>
      <w:numFmt w:val="bullet"/>
      <w:pStyle w:val="18"/>
      <w:lvlText w:val=""/>
      <w:lvlJc w:val="left"/>
      <w:pPr>
        <w:tabs>
          <w:tab w:val="left" w:pos="360"/>
        </w:tabs>
        <w:ind w:left="360" w:hanging="360"/>
      </w:pPr>
      <w:rPr>
        <w:rFonts w:hint="default" w:ascii="Symbol" w:hAnsi="Symbol"/>
      </w:rPr>
    </w:lvl>
  </w:abstractNum>
  <w:abstractNum w:abstractNumId="9">
    <w:nsid w:val="0000001C"/>
    <w:multiLevelType w:val="singleLevel"/>
    <w:tmpl w:val="0000001C"/>
    <w:lvl w:ilvl="0" w:tentative="0">
      <w:start w:val="1"/>
      <w:numFmt w:val="decimal"/>
      <w:lvlText w:val="%1."/>
      <w:lvlJc w:val="left"/>
      <w:pPr>
        <w:tabs>
          <w:tab w:val="left" w:pos="425"/>
        </w:tabs>
        <w:ind w:left="425" w:hanging="425"/>
      </w:pPr>
      <w:rPr>
        <w:rFonts w:hint="eastAsia"/>
      </w:rPr>
    </w:lvl>
  </w:abstractNum>
  <w:abstractNum w:abstractNumId="10">
    <w:nsid w:val="1D79152C"/>
    <w:multiLevelType w:val="singleLevel"/>
    <w:tmpl w:val="1D79152C"/>
    <w:lvl w:ilvl="0" w:tentative="0">
      <w:start w:val="3"/>
      <w:numFmt w:val="decimal"/>
      <w:suff w:val="nothing"/>
      <w:lvlText w:val="%1、"/>
      <w:lvlJc w:val="left"/>
    </w:lvl>
  </w:abstractNum>
  <w:abstractNum w:abstractNumId="11">
    <w:nsid w:val="36C13627"/>
    <w:multiLevelType w:val="singleLevel"/>
    <w:tmpl w:val="36C13627"/>
    <w:lvl w:ilvl="0" w:tentative="0">
      <w:start w:val="2"/>
      <w:numFmt w:val="chineseCounting"/>
      <w:suff w:val="space"/>
      <w:lvlText w:val="第%1章"/>
      <w:lvlJc w:val="left"/>
      <w:rPr>
        <w:rFonts w:hint="eastAsia"/>
      </w:rPr>
    </w:lvl>
  </w:abstractNum>
  <w:abstractNum w:abstractNumId="12">
    <w:nsid w:val="3CBE7CEB"/>
    <w:multiLevelType w:val="singleLevel"/>
    <w:tmpl w:val="3CBE7CEB"/>
    <w:lvl w:ilvl="0" w:tentative="0">
      <w:start w:val="1"/>
      <w:numFmt w:val="decimal"/>
      <w:lvlText w:val="(%1)"/>
      <w:lvlJc w:val="left"/>
      <w:pPr>
        <w:ind w:left="425" w:hanging="425"/>
      </w:pPr>
      <w:rPr>
        <w:rFonts w:hint="default"/>
      </w:rPr>
    </w:lvl>
  </w:abstractNum>
  <w:abstractNum w:abstractNumId="13">
    <w:nsid w:val="3F6C9781"/>
    <w:multiLevelType w:val="singleLevel"/>
    <w:tmpl w:val="3F6C9781"/>
    <w:lvl w:ilvl="0" w:tentative="0">
      <w:start w:val="1"/>
      <w:numFmt w:val="decimal"/>
      <w:lvlText w:val="(%1)"/>
      <w:lvlJc w:val="left"/>
      <w:pPr>
        <w:ind w:left="425" w:hanging="425"/>
      </w:pPr>
      <w:rPr>
        <w:rFonts w:hint="default"/>
      </w:rPr>
    </w:lvl>
  </w:abstractNum>
  <w:abstractNum w:abstractNumId="14">
    <w:nsid w:val="443560A5"/>
    <w:multiLevelType w:val="singleLevel"/>
    <w:tmpl w:val="443560A5"/>
    <w:lvl w:ilvl="0" w:tentative="0">
      <w:start w:val="1"/>
      <w:numFmt w:val="decimal"/>
      <w:suff w:val="nothing"/>
      <w:lvlText w:val="%1、"/>
      <w:lvlJc w:val="left"/>
    </w:lvl>
  </w:abstractNum>
  <w:abstractNum w:abstractNumId="15">
    <w:nsid w:val="478C2ADA"/>
    <w:multiLevelType w:val="singleLevel"/>
    <w:tmpl w:val="478C2ADA"/>
    <w:lvl w:ilvl="0" w:tentative="0">
      <w:start w:val="1"/>
      <w:numFmt w:val="decimal"/>
      <w:suff w:val="nothing"/>
      <w:lvlText w:val="%1、"/>
      <w:lvlJc w:val="left"/>
    </w:lvl>
  </w:abstractNum>
  <w:abstractNum w:abstractNumId="16">
    <w:nsid w:val="5881B6B9"/>
    <w:multiLevelType w:val="singleLevel"/>
    <w:tmpl w:val="5881B6B9"/>
    <w:lvl w:ilvl="0" w:tentative="0">
      <w:start w:val="1"/>
      <w:numFmt w:val="decimal"/>
      <w:lvlText w:val="(%1)"/>
      <w:lvlJc w:val="left"/>
      <w:pPr>
        <w:ind w:left="425" w:hanging="425"/>
      </w:pPr>
      <w:rPr>
        <w:rFonts w:hint="default"/>
      </w:rPr>
    </w:lvl>
  </w:abstractNum>
  <w:num w:numId="1">
    <w:abstractNumId w:val="4"/>
  </w:num>
  <w:num w:numId="2">
    <w:abstractNumId w:val="7"/>
  </w:num>
  <w:num w:numId="3">
    <w:abstractNumId w:val="8"/>
  </w:num>
  <w:num w:numId="4">
    <w:abstractNumId w:val="5"/>
  </w:num>
  <w:num w:numId="5">
    <w:abstractNumId w:val="3"/>
  </w:num>
  <w:num w:numId="6">
    <w:abstractNumId w:val="6"/>
  </w:num>
  <w:num w:numId="7">
    <w:abstractNumId w:val="11"/>
  </w:num>
  <w:num w:numId="8">
    <w:abstractNumId w:val="0"/>
  </w:num>
  <w:num w:numId="9">
    <w:abstractNumId w:val="12"/>
  </w:num>
  <w:num w:numId="10">
    <w:abstractNumId w:val="2"/>
  </w:num>
  <w:num w:numId="11">
    <w:abstractNumId w:val="13"/>
  </w:num>
  <w:num w:numId="12">
    <w:abstractNumId w:val="16"/>
  </w:num>
  <w:num w:numId="13">
    <w:abstractNumId w:val="10"/>
  </w:num>
  <w:num w:numId="14">
    <w:abstractNumId w:val="14"/>
  </w:num>
  <w:num w:numId="15">
    <w:abstractNumId w:val="1"/>
  </w:num>
  <w:num w:numId="16">
    <w:abstractNumId w:val="15"/>
  </w:num>
  <w:num w:numId="1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7"/>
  <w:bordersDoNotSurroundHeader w:val="0"/>
  <w:bordersDoNotSurroundFooter w:val="0"/>
  <w:documentProtection w:enforcement="0"/>
  <w:defaultTabStop w:val="720"/>
  <w:displayHorizontalDrawingGridEvery w:val="1"/>
  <w:displayVerticalDrawingGridEvery w:val="1"/>
  <w:noPunctuationKerning w:val="1"/>
  <w:characterSpacingControl w:val="doNotCompress"/>
  <w:footnotePr>
    <w:footnote w:id="0"/>
    <w:footnote w:id="1"/>
  </w:footnotePr>
  <w:endnotePr>
    <w:endnote w:id="0"/>
    <w:endnote w:id="1"/>
  </w:endnotePr>
  <w:compat>
    <w:doNotExpandShiftReturn/>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 w:val="02145820"/>
    <w:rsid w:val="03654CDE"/>
    <w:rsid w:val="05802F92"/>
    <w:rsid w:val="0891256D"/>
    <w:rsid w:val="09806F9D"/>
    <w:rsid w:val="130429B3"/>
    <w:rsid w:val="1628552E"/>
    <w:rsid w:val="18797CF6"/>
    <w:rsid w:val="197D7464"/>
    <w:rsid w:val="1E4F15D7"/>
    <w:rsid w:val="20647631"/>
    <w:rsid w:val="21213D98"/>
    <w:rsid w:val="229C4BB4"/>
    <w:rsid w:val="260C2116"/>
    <w:rsid w:val="2DD654A0"/>
    <w:rsid w:val="319E7480"/>
    <w:rsid w:val="31B70420"/>
    <w:rsid w:val="34783D74"/>
    <w:rsid w:val="3CC35212"/>
    <w:rsid w:val="405339AA"/>
    <w:rsid w:val="45053FCB"/>
    <w:rsid w:val="470E5D77"/>
    <w:rsid w:val="47516E87"/>
    <w:rsid w:val="4A445D00"/>
    <w:rsid w:val="50B75D84"/>
    <w:rsid w:val="51802C44"/>
    <w:rsid w:val="54DD7AC9"/>
    <w:rsid w:val="588D4BFA"/>
    <w:rsid w:val="590C6DBA"/>
    <w:rsid w:val="5D034E1C"/>
    <w:rsid w:val="5DB623CB"/>
    <w:rsid w:val="5DFE6042"/>
    <w:rsid w:val="61DB0E6C"/>
    <w:rsid w:val="67050051"/>
    <w:rsid w:val="69B80F9A"/>
    <w:rsid w:val="69F7616B"/>
    <w:rsid w:val="709D3EA7"/>
    <w:rsid w:val="711710AD"/>
  </w:rsids>
  <m:mathPr>
    <m:mathFont m:val="Cambria Math"/>
    <m:brkBin m:val="before"/>
    <m:brkBinSub m:val="--"/>
    <m:smallFrac m:val="0"/>
    <m:dispDef/>
    <m:lMargin m:val="0"/>
    <m:rMargin m:val="0"/>
    <m:defJc m:val="centerGroup"/>
    <m:wrapIndent m:val="1440"/>
    <m:intLim m:val="subSup"/>
    <m:naryLim m:val="undOvr"/>
  </m:mathPr>
  <w:doNotAutoCompressPictures/>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14:defaultImageDpi w14:val="300"/>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qFormat="1" w:unhideWhenUsed="0" w:uiPriority="0" w:semiHidden="0"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qFormat="1" w:unhideWhenUsed="0" w:uiPriority="0" w:semiHidden="0"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semiHidden="0"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qFormat="1" w:uiPriority="99" w:semiHidden="0" w:name="macro"/>
    <w:lsdException w:uiPriority="99" w:name="toa heading"/>
    <w:lsdException w:qFormat="1" w:uiPriority="99" w:semiHidden="0" w:name="List"/>
    <w:lsdException w:qFormat="1" w:uiPriority="99" w:semiHidden="0" w:name="List Bullet"/>
    <w:lsdException w:qFormat="1" w:uiPriority="99" w:semiHidden="0" w:name="List Number"/>
    <w:lsdException w:qFormat="1" w:uiPriority="99" w:semiHidden="0" w:name="List 2"/>
    <w:lsdException w:qFormat="1" w:uiPriority="99" w:semiHidden="0" w:name="List 3"/>
    <w:lsdException w:uiPriority="99" w:name="List 4"/>
    <w:lsdException w:uiPriority="99" w:name="List 5"/>
    <w:lsdException w:qFormat="1" w:uiPriority="99" w:semiHidden="0" w:name="List Bullet 2"/>
    <w:lsdException w:qFormat="1" w:uiPriority="99" w:semiHidden="0" w:name="List Bullet 3"/>
    <w:lsdException w:uiPriority="99" w:name="List Bullet 4"/>
    <w:lsdException w:uiPriority="99" w:name="List Bullet 5"/>
    <w:lsdException w:qFormat="1" w:uiPriority="99" w:semiHidden="0" w:name="List Number 2"/>
    <w:lsdException w:qFormat="1" w:uiPriority="99" w:semiHidden="0"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iPriority="99" w:semiHidden="0" w:name="Body Text"/>
    <w:lsdException w:uiPriority="99" w:name="Body Text Indent"/>
    <w:lsdException w:qFormat="1" w:uiPriority="99" w:semiHidden="0" w:name="List Continue"/>
    <w:lsdException w:qFormat="1" w:uiPriority="99" w:semiHidden="0" w:name="List Continue 2"/>
    <w:lsdException w:qFormat="1" w:uiPriority="99" w:semiHidden="0"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qFormat="1" w:uiPriority="99" w:semiHidden="0" w:name="Body Text 2"/>
    <w:lsdException w:qFormat="1" w:uiPriority="99" w:semiHidden="0"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60" w:semiHidden="0" w:name="Light Shading"/>
    <w:lsdException w:qFormat="1" w:unhideWhenUsed="0" w:uiPriority="61" w:semiHidden="0" w:name="Light List"/>
    <w:lsdException w:qFormat="1" w:unhideWhenUsed="0" w:uiPriority="62" w:semiHidden="0" w:name="Light Grid"/>
    <w:lsdException w:qFormat="1" w:unhideWhenUsed="0" w:uiPriority="63" w:semiHidden="0" w:name="Medium Shading 1"/>
    <w:lsdException w:qFormat="1" w:unhideWhenUsed="0" w:uiPriority="64" w:semiHidden="0" w:name="Medium Shading 2"/>
    <w:lsdException w:qFormat="1" w:unhideWhenUsed="0" w:uiPriority="65" w:semiHidden="0" w:name="Medium List 1"/>
    <w:lsdException w:qFormat="1" w:unhideWhenUsed="0" w:uiPriority="66" w:semiHidden="0" w:name="Medium List 2"/>
    <w:lsdException w:qFormat="1" w:unhideWhenUsed="0" w:uiPriority="67" w:semiHidden="0" w:name="Medium Grid 1"/>
    <w:lsdException w:qFormat="1" w:unhideWhenUsed="0" w:uiPriority="68" w:semiHidden="0" w:name="Medium Grid 2"/>
    <w:lsdException w:qFormat="1" w:unhideWhenUsed="0" w:uiPriority="69" w:semiHidden="0" w:name="Medium Grid 3"/>
    <w:lsdException w:qFormat="1" w:unhideWhenUsed="0" w:uiPriority="70" w:semiHidden="0" w:name="Dark List"/>
    <w:lsdException w:qFormat="1" w:unhideWhenUsed="0" w:uiPriority="71" w:semiHidden="0" w:name="Colorful Shading"/>
    <w:lsdException w:qFormat="1" w:unhideWhenUsed="0" w:uiPriority="72" w:semiHidden="0" w:name="Colorful List"/>
    <w:lsdException w:qFormat="1" w:unhideWhenUsed="0" w:uiPriority="73" w:semiHidden="0" w:name="Colorful Grid"/>
    <w:lsdException w:qFormat="1" w:unhideWhenUsed="0" w:uiPriority="60" w:semiHidden="0" w:name="Light Shading Accent 1"/>
    <w:lsdException w:qFormat="1" w:unhideWhenUsed="0" w:uiPriority="61" w:semiHidden="0" w:name="Light List Accent 1"/>
    <w:lsdException w:qFormat="1" w:unhideWhenUsed="0" w:uiPriority="62" w:semiHidden="0" w:name="Light Grid Accent 1"/>
    <w:lsdException w:qFormat="1" w:unhideWhenUsed="0" w:uiPriority="63" w:semiHidden="0" w:name="Medium Shading 1 Accent 1"/>
    <w:lsdException w:qFormat="1" w:unhideWhenUsed="0" w:uiPriority="64" w:semiHidden="0" w:name="Medium Shading 2 Accent 1"/>
    <w:lsdException w:qFormat="1" w:unhideWhenUsed="0" w:uiPriority="65" w:semiHidden="0" w:name="Medium List 1 Accent 1"/>
    <w:lsdException w:qFormat="1" w:unhideWhenUsed="0" w:uiPriority="66" w:semiHidden="0" w:name="Medium List 2 Accent 1"/>
    <w:lsdException w:qFormat="1" w:unhideWhenUsed="0" w:uiPriority="67" w:semiHidden="0" w:name="Medium Grid 1 Accent 1"/>
    <w:lsdException w:qFormat="1" w:unhideWhenUsed="0" w:uiPriority="68" w:semiHidden="0" w:name="Medium Grid 2 Accent 1"/>
    <w:lsdException w:qFormat="1" w:unhideWhenUsed="0" w:uiPriority="69" w:semiHidden="0" w:name="Medium Grid 3 Accent 1"/>
    <w:lsdException w:qFormat="1" w:unhideWhenUsed="0" w:uiPriority="70" w:semiHidden="0" w:name="Dark List Accent 1"/>
    <w:lsdException w:qFormat="1" w:unhideWhenUsed="0" w:uiPriority="71" w:semiHidden="0" w:name="Colorful Shading Accent 1"/>
    <w:lsdException w:qFormat="1" w:unhideWhenUsed="0" w:uiPriority="72" w:semiHidden="0" w:name="Colorful List Accent 1"/>
    <w:lsdException w:qFormat="1" w:unhideWhenUsed="0" w:uiPriority="73" w:semiHidden="0" w:name="Colorful Grid Accent 1"/>
    <w:lsdException w:qFormat="1" w:unhideWhenUsed="0" w:uiPriority="60" w:semiHidden="0" w:name="Light Shading Accent 2"/>
    <w:lsdException w:qFormat="1" w:unhideWhenUsed="0" w:uiPriority="61" w:semiHidden="0" w:name="Light List Accent 2"/>
    <w:lsdException w:qFormat="1" w:unhideWhenUsed="0" w:uiPriority="62" w:semiHidden="0" w:name="Light Grid Accent 2"/>
    <w:lsdException w:qFormat="1" w:unhideWhenUsed="0" w:uiPriority="63" w:semiHidden="0" w:name="Medium Shading 1 Accent 2"/>
    <w:lsdException w:qFormat="1" w:unhideWhenUsed="0" w:uiPriority="64" w:semiHidden="0" w:name="Medium Shading 2 Accent 2"/>
    <w:lsdException w:qFormat="1" w:unhideWhenUsed="0" w:uiPriority="65" w:semiHidden="0" w:name="Medium List 1 Accent 2"/>
    <w:lsdException w:qFormat="1" w:unhideWhenUsed="0" w:uiPriority="66" w:semiHidden="0" w:name="Medium List 2 Accent 2"/>
    <w:lsdException w:qFormat="1" w:unhideWhenUsed="0" w:uiPriority="67" w:semiHidden="0" w:name="Medium Grid 1 Accent 2"/>
    <w:lsdException w:qFormat="1" w:unhideWhenUsed="0" w:uiPriority="68" w:semiHidden="0" w:name="Medium Grid 2 Accent 2"/>
    <w:lsdException w:qFormat="1" w:unhideWhenUsed="0" w:uiPriority="69" w:semiHidden="0" w:name="Medium Grid 3 Accent 2"/>
    <w:lsdException w:qFormat="1" w:unhideWhenUsed="0" w:uiPriority="70" w:semiHidden="0" w:name="Dark List Accent 2"/>
    <w:lsdException w:qFormat="1" w:unhideWhenUsed="0" w:uiPriority="71" w:semiHidden="0" w:name="Colorful Shading Accent 2"/>
    <w:lsdException w:qFormat="1" w:unhideWhenUsed="0" w:uiPriority="72" w:semiHidden="0" w:name="Colorful List Accent 2"/>
    <w:lsdException w:qFormat="1" w:unhideWhenUsed="0" w:uiPriority="73" w:semiHidden="0" w:name="Colorful Grid Accent 2"/>
    <w:lsdException w:qFormat="1" w:unhideWhenUsed="0" w:uiPriority="60" w:semiHidden="0" w:name="Light Shading Accent 3"/>
    <w:lsdException w:qFormat="1" w:unhideWhenUsed="0" w:uiPriority="61" w:semiHidden="0" w:name="Light List Accent 3"/>
    <w:lsdException w:qFormat="1" w:unhideWhenUsed="0" w:uiPriority="62" w:semiHidden="0" w:name="Light Grid Accent 3"/>
    <w:lsdException w:qFormat="1" w:unhideWhenUsed="0" w:uiPriority="63" w:semiHidden="0" w:name="Medium Shading 1 Accent 3"/>
    <w:lsdException w:qFormat="1" w:unhideWhenUsed="0" w:uiPriority="64" w:semiHidden="0" w:name="Medium Shading 2 Accent 3"/>
    <w:lsdException w:qFormat="1" w:unhideWhenUsed="0" w:uiPriority="65" w:semiHidden="0" w:name="Medium List 1 Accent 3"/>
    <w:lsdException w:qFormat="1" w:unhideWhenUsed="0" w:uiPriority="66" w:semiHidden="0" w:name="Medium List 2 Accent 3"/>
    <w:lsdException w:qFormat="1" w:unhideWhenUsed="0" w:uiPriority="67" w:semiHidden="0" w:name="Medium Grid 1 Accent 3"/>
    <w:lsdException w:qFormat="1" w:unhideWhenUsed="0" w:uiPriority="68" w:semiHidden="0" w:name="Medium Grid 2 Accent 3"/>
    <w:lsdException w:qFormat="1" w:unhideWhenUsed="0" w:uiPriority="69" w:semiHidden="0" w:name="Medium Grid 3 Accent 3"/>
    <w:lsdException w:qFormat="1" w:unhideWhenUsed="0" w:uiPriority="70" w:semiHidden="0" w:name="Dark List Accent 3"/>
    <w:lsdException w:qFormat="1" w:unhideWhenUsed="0" w:uiPriority="71" w:semiHidden="0" w:name="Colorful Shading Accent 3"/>
    <w:lsdException w:qFormat="1" w:unhideWhenUsed="0" w:uiPriority="72" w:semiHidden="0" w:name="Colorful List Accent 3"/>
    <w:lsdException w:qFormat="1" w:unhideWhenUsed="0" w:uiPriority="73" w:semiHidden="0" w:name="Colorful Grid Accent 3"/>
    <w:lsdException w:qFormat="1" w:unhideWhenUsed="0" w:uiPriority="60" w:semiHidden="0" w:name="Light Shading Accent 4"/>
    <w:lsdException w:qFormat="1" w:unhideWhenUsed="0" w:uiPriority="61" w:semiHidden="0" w:name="Light List Accent 4"/>
    <w:lsdException w:qFormat="1" w:unhideWhenUsed="0" w:uiPriority="62" w:semiHidden="0" w:name="Light Grid Accent 4"/>
    <w:lsdException w:qFormat="1" w:unhideWhenUsed="0" w:uiPriority="63" w:semiHidden="0" w:name="Medium Shading 1 Accent 4"/>
    <w:lsdException w:qFormat="1" w:unhideWhenUsed="0" w:uiPriority="64" w:semiHidden="0" w:name="Medium Shading 2 Accent 4"/>
    <w:lsdException w:qFormat="1" w:unhideWhenUsed="0" w:uiPriority="65" w:semiHidden="0" w:name="Medium List 1 Accent 4"/>
    <w:lsdException w:qFormat="1" w:unhideWhenUsed="0" w:uiPriority="66" w:semiHidden="0" w:name="Medium List 2 Accent 4"/>
    <w:lsdException w:qFormat="1" w:unhideWhenUsed="0" w:uiPriority="67" w:semiHidden="0" w:name="Medium Grid 1 Accent 4"/>
    <w:lsdException w:qFormat="1" w:unhideWhenUsed="0" w:uiPriority="68" w:semiHidden="0" w:name="Medium Grid 2 Accent 4"/>
    <w:lsdException w:qFormat="1" w:unhideWhenUsed="0" w:uiPriority="69" w:semiHidden="0" w:name="Medium Grid 3 Accent 4"/>
    <w:lsdException w:qFormat="1" w:unhideWhenUsed="0" w:uiPriority="70" w:semiHidden="0" w:name="Dark List Accent 4"/>
    <w:lsdException w:qFormat="1" w:unhideWhenUsed="0" w:uiPriority="71" w:semiHidden="0" w:name="Colorful Shading Accent 4"/>
    <w:lsdException w:qFormat="1" w:unhideWhenUsed="0" w:uiPriority="72" w:semiHidden="0" w:name="Colorful List Accent 4"/>
    <w:lsdException w:qFormat="1" w:unhideWhenUsed="0" w:uiPriority="73" w:semiHidden="0" w:name="Colorful Grid Accent 4"/>
    <w:lsdException w:qFormat="1" w:unhideWhenUsed="0" w:uiPriority="60" w:semiHidden="0" w:name="Light Shading Accent 5"/>
    <w:lsdException w:qFormat="1" w:unhideWhenUsed="0" w:uiPriority="61" w:semiHidden="0" w:name="Light List Accent 5"/>
    <w:lsdException w:qFormat="1" w:unhideWhenUsed="0" w:uiPriority="62" w:semiHidden="0" w:name="Light Grid Accent 5"/>
    <w:lsdException w:qFormat="1" w:unhideWhenUsed="0" w:uiPriority="63" w:semiHidden="0" w:name="Medium Shading 1 Accent 5"/>
    <w:lsdException w:qFormat="1" w:unhideWhenUsed="0" w:uiPriority="64" w:semiHidden="0" w:name="Medium Shading 2 Accent 5"/>
    <w:lsdException w:qFormat="1" w:unhideWhenUsed="0" w:uiPriority="65" w:semiHidden="0" w:name="Medium List 1 Accent 5"/>
    <w:lsdException w:qFormat="1" w:unhideWhenUsed="0" w:uiPriority="66" w:semiHidden="0" w:name="Medium List 2 Accent 5"/>
    <w:lsdException w:qFormat="1" w:unhideWhenUsed="0" w:uiPriority="67" w:semiHidden="0" w:name="Medium Grid 1 Accent 5"/>
    <w:lsdException w:qFormat="1" w:unhideWhenUsed="0" w:uiPriority="68" w:semiHidden="0" w:name="Medium Grid 2 Accent 5"/>
    <w:lsdException w:qFormat="1" w:unhideWhenUsed="0" w:uiPriority="69" w:semiHidden="0" w:name="Medium Grid 3 Accent 5"/>
    <w:lsdException w:qFormat="1" w:unhideWhenUsed="0" w:uiPriority="70" w:semiHidden="0" w:name="Dark List Accent 5"/>
    <w:lsdException w:qFormat="1" w:unhideWhenUsed="0" w:uiPriority="71" w:semiHidden="0" w:name="Colorful Shading Accent 5"/>
    <w:lsdException w:qFormat="1" w:unhideWhenUsed="0" w:uiPriority="72" w:semiHidden="0" w:name="Colorful List Accent 5"/>
    <w:lsdException w:qFormat="1" w:unhideWhenUsed="0" w:uiPriority="73" w:semiHidden="0" w:name="Colorful Grid Accent 5"/>
    <w:lsdException w:qFormat="1" w:unhideWhenUsed="0" w:uiPriority="60" w:semiHidden="0" w:name="Light Shading Accent 6"/>
    <w:lsdException w:qFormat="1" w:unhideWhenUsed="0" w:uiPriority="61" w:semiHidden="0" w:name="Light List Accent 6"/>
    <w:lsdException w:qFormat="1" w:unhideWhenUsed="0" w:uiPriority="62" w:semiHidden="0" w:name="Light Grid Accent 6"/>
    <w:lsdException w:qFormat="1" w:unhideWhenUsed="0" w:uiPriority="63" w:semiHidden="0" w:name="Medium Shading 1 Accent 6"/>
    <w:lsdException w:qFormat="1" w:unhideWhenUsed="0" w:uiPriority="64" w:semiHidden="0" w:name="Medium Shading 2 Accent 6"/>
    <w:lsdException w:qFormat="1" w:unhideWhenUsed="0" w:uiPriority="65" w:semiHidden="0" w:name="Medium List 1 Accent 6"/>
    <w:lsdException w:qFormat="1" w:unhideWhenUsed="0" w:uiPriority="66" w:semiHidden="0" w:name="Medium List 2 Accent 6"/>
    <w:lsdException w:qFormat="1" w:unhideWhenUsed="0" w:uiPriority="67" w:semiHidden="0" w:name="Medium Grid 1 Accent 6"/>
    <w:lsdException w:qFormat="1" w:unhideWhenUsed="0" w:uiPriority="68" w:semiHidden="0" w:name="Medium Grid 2 Accent 6"/>
    <w:lsdException w:qFormat="1" w:unhideWhenUsed="0" w:uiPriority="69" w:semiHidden="0" w:name="Medium Grid 3 Accent 6"/>
    <w:lsdException w:qFormat="1" w:unhideWhenUsed="0" w:uiPriority="70" w:semiHidden="0" w:name="Dark List Accent 6"/>
    <w:lsdException w:qFormat="1" w:unhideWhenUsed="0" w:uiPriority="71" w:semiHidden="0" w:name="Colorful Shading Accent 6"/>
    <w:lsdException w:qFormat="1" w:unhideWhenUsed="0" w:uiPriority="72" w:semiHidden="0" w:name="Colorful List Accent 6"/>
    <w:lsdException w:qFormat="1" w:unhideWhenUsed="0" w:uiPriority="73" w:semiHidden="0" w:name="Colorful Grid Accent 6"/>
  </w:latentStyles>
  <w:style w:type="paragraph" w:default="1" w:styleId="1">
    <w:name w:val="Normal"/>
    <w:qFormat/>
    <w:uiPriority w:val="0"/>
    <w:pPr>
      <w:spacing w:after="200" w:line="276" w:lineRule="auto"/>
    </w:pPr>
    <w:rPr>
      <w:rFonts w:ascii="宋体" w:hAnsi="宋体" w:eastAsia="宋体" w:cstheme="minorBidi"/>
      <w:sz w:val="21"/>
      <w:szCs w:val="22"/>
      <w:lang w:val="en-US" w:eastAsia="en-US" w:bidi="ar-SA"/>
    </w:rPr>
  </w:style>
  <w:style w:type="paragraph" w:styleId="3">
    <w:name w:val="heading 1"/>
    <w:basedOn w:val="1"/>
    <w:next w:val="1"/>
    <w:link w:val="144"/>
    <w:qFormat/>
    <w:uiPriority w:val="9"/>
    <w:pPr>
      <w:keepNext/>
      <w:keepLines/>
      <w:spacing w:before="480" w:after="0"/>
      <w:outlineLvl w:val="0"/>
    </w:pPr>
    <w:rPr>
      <w:rFonts w:asciiTheme="majorHAnsi" w:hAnsiTheme="majorHAnsi" w:eastAsiaTheme="majorEastAsia" w:cstheme="majorBidi"/>
      <w:b/>
      <w:bCs/>
      <w:color w:val="376092" w:themeColor="accent1" w:themeShade="BF"/>
      <w:sz w:val="28"/>
      <w:szCs w:val="28"/>
    </w:rPr>
  </w:style>
  <w:style w:type="paragraph" w:styleId="4">
    <w:name w:val="heading 2"/>
    <w:basedOn w:val="1"/>
    <w:next w:val="1"/>
    <w:link w:val="145"/>
    <w:unhideWhenUsed/>
    <w:qFormat/>
    <w:uiPriority w:val="9"/>
    <w:pPr>
      <w:keepNext/>
      <w:keepLines/>
      <w:spacing w:before="200" w:after="0"/>
      <w:outlineLvl w:val="1"/>
    </w:pPr>
    <w:rPr>
      <w:rFonts w:asciiTheme="majorHAnsi" w:hAnsiTheme="majorHAnsi" w:eastAsiaTheme="majorEastAsia" w:cstheme="majorBidi"/>
      <w:b/>
      <w:bCs/>
      <w:color w:val="4F81BD" w:themeColor="accent1"/>
      <w:sz w:val="26"/>
      <w:szCs w:val="26"/>
      <w14:textFill>
        <w14:solidFill>
          <w14:schemeClr w14:val="accent1"/>
        </w14:solidFill>
      </w14:textFill>
    </w:rPr>
  </w:style>
  <w:style w:type="paragraph" w:styleId="5">
    <w:name w:val="heading 3"/>
    <w:basedOn w:val="1"/>
    <w:next w:val="1"/>
    <w:link w:val="146"/>
    <w:unhideWhenUsed/>
    <w:qFormat/>
    <w:uiPriority w:val="9"/>
    <w:pPr>
      <w:keepNext/>
      <w:keepLines/>
      <w:spacing w:before="200" w:after="0"/>
      <w:outlineLvl w:val="2"/>
    </w:pPr>
    <w:rPr>
      <w:rFonts w:asciiTheme="majorHAnsi" w:hAnsiTheme="majorHAnsi" w:eastAsiaTheme="majorEastAsia" w:cstheme="majorBidi"/>
      <w:b/>
      <w:bCs/>
      <w:color w:val="4F81BD" w:themeColor="accent1"/>
      <w14:textFill>
        <w14:solidFill>
          <w14:schemeClr w14:val="accent1"/>
        </w14:solidFill>
      </w14:textFill>
    </w:rPr>
  </w:style>
  <w:style w:type="paragraph" w:styleId="6">
    <w:name w:val="heading 4"/>
    <w:basedOn w:val="1"/>
    <w:next w:val="1"/>
    <w:link w:val="156"/>
    <w:unhideWhenUsed/>
    <w:qFormat/>
    <w:uiPriority w:val="9"/>
    <w:pPr>
      <w:keepNext/>
      <w:keepLines/>
      <w:spacing w:before="200" w:after="0"/>
      <w:outlineLvl w:val="3"/>
    </w:pPr>
    <w:rPr>
      <w:rFonts w:asciiTheme="majorHAnsi" w:hAnsiTheme="majorHAnsi" w:eastAsiaTheme="majorEastAsia" w:cstheme="majorBidi"/>
      <w:b/>
      <w:bCs/>
      <w:i/>
      <w:iCs/>
      <w:color w:val="4F81BD" w:themeColor="accent1"/>
      <w14:textFill>
        <w14:solidFill>
          <w14:schemeClr w14:val="accent1"/>
        </w14:solidFill>
      </w14:textFill>
    </w:rPr>
  </w:style>
  <w:style w:type="paragraph" w:styleId="7">
    <w:name w:val="heading 5"/>
    <w:basedOn w:val="1"/>
    <w:next w:val="1"/>
    <w:link w:val="157"/>
    <w:unhideWhenUsed/>
    <w:qFormat/>
    <w:uiPriority w:val="9"/>
    <w:pPr>
      <w:keepNext/>
      <w:keepLines/>
      <w:spacing w:before="200" w:after="0"/>
      <w:outlineLvl w:val="4"/>
    </w:pPr>
    <w:rPr>
      <w:rFonts w:asciiTheme="majorHAnsi" w:hAnsiTheme="majorHAnsi" w:eastAsiaTheme="majorEastAsia" w:cstheme="majorBidi"/>
      <w:color w:val="254061" w:themeColor="accent1" w:themeShade="80"/>
    </w:rPr>
  </w:style>
  <w:style w:type="paragraph" w:styleId="8">
    <w:name w:val="heading 6"/>
    <w:basedOn w:val="1"/>
    <w:next w:val="1"/>
    <w:link w:val="158"/>
    <w:unhideWhenUsed/>
    <w:qFormat/>
    <w:uiPriority w:val="9"/>
    <w:pPr>
      <w:keepNext/>
      <w:keepLines/>
      <w:spacing w:before="200" w:after="0"/>
      <w:outlineLvl w:val="5"/>
    </w:pPr>
    <w:rPr>
      <w:rFonts w:asciiTheme="majorHAnsi" w:hAnsiTheme="majorHAnsi" w:eastAsiaTheme="majorEastAsia" w:cstheme="majorBidi"/>
      <w:i/>
      <w:iCs/>
      <w:color w:val="254061" w:themeColor="accent1" w:themeShade="80"/>
    </w:rPr>
  </w:style>
  <w:style w:type="paragraph" w:styleId="9">
    <w:name w:val="heading 7"/>
    <w:basedOn w:val="1"/>
    <w:next w:val="1"/>
    <w:link w:val="159"/>
    <w:unhideWhenUsed/>
    <w:qFormat/>
    <w:uiPriority w:val="9"/>
    <w:pPr>
      <w:keepNext/>
      <w:keepLines/>
      <w:spacing w:before="200" w:after="0"/>
      <w:outlineLvl w:val="6"/>
    </w:pPr>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paragraph" w:styleId="10">
    <w:name w:val="heading 8"/>
    <w:basedOn w:val="1"/>
    <w:next w:val="1"/>
    <w:link w:val="160"/>
    <w:unhideWhenUsed/>
    <w:qFormat/>
    <w:uiPriority w:val="9"/>
    <w:pPr>
      <w:keepNext/>
      <w:keepLines/>
      <w:spacing w:before="200" w:after="0"/>
      <w:outlineLvl w:val="7"/>
    </w:pPr>
    <w:rPr>
      <w:rFonts w:asciiTheme="majorHAnsi" w:hAnsiTheme="majorHAnsi" w:eastAsiaTheme="majorEastAsia" w:cstheme="majorBidi"/>
      <w:color w:val="4F81BD" w:themeColor="accent1"/>
      <w:sz w:val="20"/>
      <w:szCs w:val="20"/>
      <w14:textFill>
        <w14:solidFill>
          <w14:schemeClr w14:val="accent1"/>
        </w14:solidFill>
      </w14:textFill>
    </w:rPr>
  </w:style>
  <w:style w:type="paragraph" w:styleId="11">
    <w:name w:val="heading 9"/>
    <w:basedOn w:val="1"/>
    <w:next w:val="1"/>
    <w:link w:val="161"/>
    <w:unhideWhenUsed/>
    <w:qFormat/>
    <w:uiPriority w:val="9"/>
    <w:pPr>
      <w:keepNext/>
      <w:keepLines/>
      <w:spacing w:before="200" w:after="0"/>
      <w:outlineLvl w:val="8"/>
    </w:pPr>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character" w:default="1" w:styleId="137">
    <w:name w:val="Default Paragraph Font"/>
    <w:unhideWhenUsed/>
    <w:qFormat/>
    <w:uiPriority w:val="1"/>
  </w:style>
  <w:style w:type="table" w:default="1" w:styleId="37">
    <w:name w:val="Normal Table"/>
    <w:unhideWhenUsed/>
    <w:qFormat/>
    <w:uiPriority w:val="99"/>
    <w:tblPr>
      <w:tblCellMar>
        <w:top w:w="0" w:type="dxa"/>
        <w:left w:w="108" w:type="dxa"/>
        <w:bottom w:w="0" w:type="dxa"/>
        <w:right w:w="108" w:type="dxa"/>
      </w:tblCellMar>
    </w:tblPr>
  </w:style>
  <w:style w:type="paragraph" w:styleId="2">
    <w:name w:val="macro"/>
    <w:link w:val="153"/>
    <w:unhideWhenUsed/>
    <w:qFormat/>
    <w:uiPriority w:val="99"/>
    <w:pPr>
      <w:tabs>
        <w:tab w:val="left" w:pos="576"/>
        <w:tab w:val="left" w:pos="1152"/>
        <w:tab w:val="left" w:pos="1728"/>
        <w:tab w:val="left" w:pos="2304"/>
        <w:tab w:val="left" w:pos="2880"/>
        <w:tab w:val="left" w:pos="3456"/>
        <w:tab w:val="left" w:pos="4032"/>
      </w:tabs>
      <w:spacing w:after="200" w:line="276" w:lineRule="auto"/>
    </w:pPr>
    <w:rPr>
      <w:rFonts w:ascii="Courier" w:hAnsi="Courier" w:eastAsiaTheme="minorEastAsia" w:cstheme="minorBidi"/>
      <w:sz w:val="20"/>
      <w:szCs w:val="20"/>
      <w:lang w:val="en-US" w:eastAsia="en-US" w:bidi="ar-SA"/>
    </w:rPr>
  </w:style>
  <w:style w:type="paragraph" w:styleId="12">
    <w:name w:val="List 3"/>
    <w:basedOn w:val="1"/>
    <w:unhideWhenUsed/>
    <w:qFormat/>
    <w:uiPriority w:val="99"/>
    <w:pPr>
      <w:ind w:left="1080" w:hanging="360"/>
      <w:contextualSpacing/>
    </w:pPr>
  </w:style>
  <w:style w:type="paragraph" w:styleId="13">
    <w:name w:val="List Number 2"/>
    <w:basedOn w:val="1"/>
    <w:unhideWhenUsed/>
    <w:qFormat/>
    <w:uiPriority w:val="99"/>
    <w:pPr>
      <w:numPr>
        <w:ilvl w:val="0"/>
        <w:numId w:val="1"/>
      </w:numPr>
      <w:contextualSpacing/>
    </w:pPr>
  </w:style>
  <w:style w:type="paragraph" w:styleId="14">
    <w:name w:val="List Number"/>
    <w:basedOn w:val="1"/>
    <w:unhideWhenUsed/>
    <w:qFormat/>
    <w:uiPriority w:val="99"/>
    <w:pPr>
      <w:numPr>
        <w:ilvl w:val="0"/>
        <w:numId w:val="2"/>
      </w:numPr>
      <w:contextualSpacing/>
    </w:pPr>
  </w:style>
  <w:style w:type="paragraph" w:styleId="15">
    <w:name w:val="Normal Indent"/>
    <w:basedOn w:val="1"/>
    <w:qFormat/>
    <w:uiPriority w:val="0"/>
    <w:pPr>
      <w:autoSpaceDE w:val="0"/>
      <w:autoSpaceDN w:val="0"/>
      <w:adjustRightInd w:val="0"/>
      <w:ind w:firstLine="420"/>
      <w:jc w:val="left"/>
      <w:textAlignment w:val="baseline"/>
    </w:pPr>
    <w:rPr>
      <w:rFonts w:ascii="宋体"/>
      <w:kern w:val="0"/>
      <w:sz w:val="34"/>
      <w:szCs w:val="20"/>
    </w:rPr>
  </w:style>
  <w:style w:type="paragraph" w:styleId="16">
    <w:name w:val="caption"/>
    <w:basedOn w:val="1"/>
    <w:next w:val="1"/>
    <w:unhideWhenUsed/>
    <w:qFormat/>
    <w:uiPriority w:val="35"/>
    <w:pPr>
      <w:spacing w:line="240" w:lineRule="auto"/>
    </w:pPr>
    <w:rPr>
      <w:b/>
      <w:bCs/>
      <w:color w:val="4F81BD" w:themeColor="accent1"/>
      <w:sz w:val="18"/>
      <w:szCs w:val="18"/>
      <w14:textFill>
        <w14:solidFill>
          <w14:schemeClr w14:val="accent1"/>
        </w14:solidFill>
      </w14:textFill>
    </w:rPr>
  </w:style>
  <w:style w:type="paragraph" w:styleId="17">
    <w:name w:val="index 5"/>
    <w:basedOn w:val="1"/>
    <w:next w:val="1"/>
    <w:qFormat/>
    <w:uiPriority w:val="0"/>
    <w:pPr>
      <w:ind w:left="1680"/>
    </w:pPr>
  </w:style>
  <w:style w:type="paragraph" w:styleId="18">
    <w:name w:val="List Bullet"/>
    <w:basedOn w:val="1"/>
    <w:unhideWhenUsed/>
    <w:qFormat/>
    <w:uiPriority w:val="99"/>
    <w:pPr>
      <w:numPr>
        <w:ilvl w:val="0"/>
        <w:numId w:val="3"/>
      </w:numPr>
      <w:contextualSpacing/>
    </w:pPr>
  </w:style>
  <w:style w:type="paragraph" w:styleId="19">
    <w:name w:val="annotation text"/>
    <w:basedOn w:val="1"/>
    <w:semiHidden/>
    <w:unhideWhenUsed/>
    <w:qFormat/>
    <w:uiPriority w:val="99"/>
    <w:pPr>
      <w:jc w:val="left"/>
    </w:pPr>
  </w:style>
  <w:style w:type="paragraph" w:styleId="20">
    <w:name w:val="Body Text 3"/>
    <w:basedOn w:val="1"/>
    <w:link w:val="152"/>
    <w:unhideWhenUsed/>
    <w:qFormat/>
    <w:uiPriority w:val="99"/>
    <w:pPr>
      <w:spacing w:after="120"/>
    </w:pPr>
    <w:rPr>
      <w:sz w:val="16"/>
      <w:szCs w:val="16"/>
    </w:rPr>
  </w:style>
  <w:style w:type="paragraph" w:styleId="21">
    <w:name w:val="List Bullet 3"/>
    <w:basedOn w:val="1"/>
    <w:unhideWhenUsed/>
    <w:qFormat/>
    <w:uiPriority w:val="99"/>
    <w:pPr>
      <w:numPr>
        <w:ilvl w:val="0"/>
        <w:numId w:val="4"/>
      </w:numPr>
      <w:contextualSpacing/>
    </w:pPr>
  </w:style>
  <w:style w:type="paragraph" w:styleId="22">
    <w:name w:val="Body Text"/>
    <w:basedOn w:val="1"/>
    <w:link w:val="150"/>
    <w:unhideWhenUsed/>
    <w:qFormat/>
    <w:uiPriority w:val="99"/>
    <w:pPr>
      <w:spacing w:after="120"/>
    </w:pPr>
  </w:style>
  <w:style w:type="paragraph" w:styleId="23">
    <w:name w:val="List Number 3"/>
    <w:basedOn w:val="1"/>
    <w:unhideWhenUsed/>
    <w:qFormat/>
    <w:uiPriority w:val="99"/>
    <w:pPr>
      <w:numPr>
        <w:ilvl w:val="0"/>
        <w:numId w:val="5"/>
      </w:numPr>
      <w:contextualSpacing/>
    </w:pPr>
  </w:style>
  <w:style w:type="paragraph" w:styleId="24">
    <w:name w:val="List 2"/>
    <w:basedOn w:val="1"/>
    <w:unhideWhenUsed/>
    <w:qFormat/>
    <w:uiPriority w:val="99"/>
    <w:pPr>
      <w:ind w:left="720" w:hanging="360"/>
      <w:contextualSpacing/>
    </w:pPr>
  </w:style>
  <w:style w:type="paragraph" w:styleId="25">
    <w:name w:val="List Continue"/>
    <w:basedOn w:val="1"/>
    <w:unhideWhenUsed/>
    <w:qFormat/>
    <w:uiPriority w:val="99"/>
    <w:pPr>
      <w:spacing w:after="120"/>
      <w:ind w:left="360"/>
      <w:contextualSpacing/>
    </w:pPr>
  </w:style>
  <w:style w:type="paragraph" w:styleId="26">
    <w:name w:val="List Bullet 2"/>
    <w:basedOn w:val="1"/>
    <w:unhideWhenUsed/>
    <w:qFormat/>
    <w:uiPriority w:val="99"/>
    <w:pPr>
      <w:numPr>
        <w:ilvl w:val="0"/>
        <w:numId w:val="6"/>
      </w:numPr>
      <w:contextualSpacing/>
    </w:pPr>
  </w:style>
  <w:style w:type="paragraph" w:styleId="27">
    <w:name w:val="Plain Text"/>
    <w:basedOn w:val="1"/>
    <w:qFormat/>
    <w:uiPriority w:val="0"/>
    <w:rPr>
      <w:rFonts w:ascii="宋体" w:hAnsi="Courier New"/>
      <w:szCs w:val="20"/>
    </w:rPr>
  </w:style>
  <w:style w:type="paragraph" w:styleId="28">
    <w:name w:val="footer"/>
    <w:basedOn w:val="1"/>
    <w:next w:val="17"/>
    <w:link w:val="142"/>
    <w:unhideWhenUsed/>
    <w:qFormat/>
    <w:uiPriority w:val="99"/>
    <w:pPr>
      <w:tabs>
        <w:tab w:val="center" w:pos="4680"/>
        <w:tab w:val="right" w:pos="9360"/>
      </w:tabs>
      <w:spacing w:after="0" w:line="240" w:lineRule="auto"/>
    </w:pPr>
  </w:style>
  <w:style w:type="paragraph" w:styleId="29">
    <w:name w:val="header"/>
    <w:basedOn w:val="1"/>
    <w:link w:val="141"/>
    <w:unhideWhenUsed/>
    <w:qFormat/>
    <w:uiPriority w:val="99"/>
    <w:pPr>
      <w:tabs>
        <w:tab w:val="center" w:pos="4680"/>
        <w:tab w:val="right" w:pos="9360"/>
      </w:tabs>
      <w:spacing w:after="0" w:line="240" w:lineRule="auto"/>
    </w:pPr>
  </w:style>
  <w:style w:type="paragraph" w:styleId="30">
    <w:name w:val="Subtitle"/>
    <w:basedOn w:val="1"/>
    <w:next w:val="1"/>
    <w:link w:val="148"/>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styleId="31">
    <w:name w:val="List"/>
    <w:basedOn w:val="1"/>
    <w:unhideWhenUsed/>
    <w:qFormat/>
    <w:uiPriority w:val="99"/>
    <w:pPr>
      <w:ind w:left="360" w:hanging="360"/>
      <w:contextualSpacing/>
    </w:pPr>
  </w:style>
  <w:style w:type="paragraph" w:styleId="32">
    <w:name w:val="Body Text 2"/>
    <w:basedOn w:val="1"/>
    <w:link w:val="151"/>
    <w:unhideWhenUsed/>
    <w:qFormat/>
    <w:uiPriority w:val="99"/>
    <w:pPr>
      <w:spacing w:after="120" w:line="480" w:lineRule="auto"/>
    </w:pPr>
  </w:style>
  <w:style w:type="paragraph" w:styleId="33">
    <w:name w:val="List Continue 2"/>
    <w:basedOn w:val="1"/>
    <w:unhideWhenUsed/>
    <w:qFormat/>
    <w:uiPriority w:val="99"/>
    <w:pPr>
      <w:spacing w:after="120"/>
      <w:ind w:left="720"/>
      <w:contextualSpacing/>
    </w:pPr>
  </w:style>
  <w:style w:type="paragraph" w:styleId="34">
    <w:name w:val="Normal (Web)"/>
    <w:basedOn w:val="1"/>
    <w:qFormat/>
    <w:uiPriority w:val="0"/>
    <w:pPr>
      <w:spacing w:before="0" w:beforeAutospacing="1" w:after="0" w:afterAutospacing="1"/>
      <w:ind w:left="0" w:right="0"/>
      <w:jc w:val="left"/>
    </w:pPr>
    <w:rPr>
      <w:kern w:val="0"/>
      <w:sz w:val="24"/>
      <w:lang w:val="en-US" w:eastAsia="zh-CN" w:bidi="ar"/>
    </w:rPr>
  </w:style>
  <w:style w:type="paragraph" w:styleId="35">
    <w:name w:val="List Continue 3"/>
    <w:basedOn w:val="1"/>
    <w:unhideWhenUsed/>
    <w:qFormat/>
    <w:uiPriority w:val="99"/>
    <w:pPr>
      <w:spacing w:after="120"/>
      <w:ind w:left="1080"/>
      <w:contextualSpacing/>
    </w:pPr>
  </w:style>
  <w:style w:type="paragraph" w:styleId="36">
    <w:name w:val="Title"/>
    <w:basedOn w:val="1"/>
    <w:next w:val="1"/>
    <w:link w:val="147"/>
    <w:qFormat/>
    <w:uiPriority w:val="10"/>
    <w:pPr>
      <w:pBdr>
        <w:bottom w:val="single" w:color="4F81BD" w:themeColor="accent1" w:sz="8" w:space="4"/>
      </w:pBdr>
      <w:spacing w:after="300" w:line="240" w:lineRule="auto"/>
      <w:contextualSpacing/>
    </w:pPr>
    <w:rPr>
      <w:rFonts w:asciiTheme="majorHAnsi" w:hAnsiTheme="majorHAnsi" w:eastAsiaTheme="majorEastAsia" w:cstheme="majorBidi"/>
      <w:color w:val="17375E" w:themeColor="text2" w:themeShade="BF"/>
      <w:spacing w:val="5"/>
      <w:kern w:val="28"/>
      <w:sz w:val="52"/>
      <w:szCs w:val="52"/>
    </w:rPr>
  </w:style>
  <w:style w:type="table" w:styleId="38">
    <w:name w:val="Table Grid"/>
    <w:basedOn w:val="37"/>
    <w:qFormat/>
    <w:uiPriority w:val="59"/>
    <w:pPr>
      <w:spacing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table" w:styleId="39">
    <w:name w:val="Light Shading"/>
    <w:basedOn w:val="37"/>
    <w:qFormat/>
    <w:uiPriority w:val="60"/>
    <w:pPr>
      <w:spacing w:after="0" w:line="240" w:lineRule="auto"/>
    </w:pPr>
    <w:rPr>
      <w:color w:val="000000" w:themeColor="text1" w:themeShade="BF"/>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lastRow">
      <w:pPr>
        <w:spacing w:before="0" w:after="0" w:line="240" w:lineRule="auto"/>
      </w:pPr>
      <w:rPr>
        <w:b/>
        <w:bCs/>
      </w:rPr>
      <w:tblPr/>
      <w:tcPr>
        <w:tcBorders>
          <w:top w:val="single" w:color="000000" w:themeColor="text1" w:sz="8" w:space="0"/>
          <w:left w:val="nil"/>
          <w:bottom w:val="single" w:color="000000" w:themeColor="tex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left w:val="nil"/>
          <w:right w:val="nil"/>
          <w:insideH w:val="nil"/>
          <w:insideV w:val="nil"/>
        </w:tcBorders>
        <w:shd w:val="clear" w:color="auto" w:fill="BFBFBF" w:themeFill="text1" w:themeFillTint="3F"/>
      </w:tcPr>
    </w:tblStylePr>
  </w:style>
  <w:style w:type="table" w:styleId="40">
    <w:name w:val="Light Shading Accent 1"/>
    <w:basedOn w:val="37"/>
    <w:qFormat/>
    <w:uiPriority w:val="60"/>
    <w:pPr>
      <w:spacing w:after="0" w:line="240" w:lineRule="auto"/>
    </w:pPr>
    <w:rPr>
      <w:color w:val="376092" w:themeColor="accent1" w:themeShade="BF"/>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lastRow">
      <w:pPr>
        <w:spacing w:before="0" w:after="0" w:line="240" w:lineRule="auto"/>
      </w:pPr>
      <w:rPr>
        <w:b/>
        <w:bCs/>
      </w:rPr>
      <w:tblPr/>
      <w:tcPr>
        <w:tcBorders>
          <w:top w:val="single" w:color="4F81BD" w:themeColor="accent1" w:sz="8" w:space="0"/>
          <w:left w:val="nil"/>
          <w:bottom w:val="single" w:color="4F81BD" w:themeColor="accent1"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41">
    <w:name w:val="Light Shading Accent 2"/>
    <w:basedOn w:val="37"/>
    <w:qFormat/>
    <w:uiPriority w:val="60"/>
    <w:pPr>
      <w:spacing w:after="0" w:line="240" w:lineRule="auto"/>
    </w:pPr>
    <w:rPr>
      <w:color w:val="953735" w:themeColor="accent2" w:themeShade="BF"/>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lastRow">
      <w:pPr>
        <w:spacing w:before="0" w:after="0" w:line="240" w:lineRule="auto"/>
      </w:pPr>
      <w:rPr>
        <w:b/>
        <w:bCs/>
      </w:rPr>
      <w:tblPr/>
      <w:tcPr>
        <w:tcBorders>
          <w:top w:val="single" w:color="C0504D" w:themeColor="accent2" w:sz="8" w:space="0"/>
          <w:left w:val="nil"/>
          <w:bottom w:val="single" w:color="C0504D" w:themeColor="accent2"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left w:val="nil"/>
          <w:right w:val="nil"/>
          <w:insideH w:val="nil"/>
          <w:insideV w:val="nil"/>
        </w:tcBorders>
        <w:shd w:val="clear" w:color="auto" w:fill="EFD3D3" w:themeFill="accent2" w:themeFillTint="3F"/>
      </w:tcPr>
    </w:tblStylePr>
  </w:style>
  <w:style w:type="table" w:styleId="42">
    <w:name w:val="Light Shading Accent 3"/>
    <w:basedOn w:val="37"/>
    <w:qFormat/>
    <w:uiPriority w:val="60"/>
    <w:pPr>
      <w:spacing w:after="0" w:line="240" w:lineRule="auto"/>
    </w:pPr>
    <w:rPr>
      <w:color w:val="77933C" w:themeColor="accent3" w:themeShade="BF"/>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lastRow">
      <w:pPr>
        <w:spacing w:before="0" w:after="0" w:line="240" w:lineRule="auto"/>
      </w:pPr>
      <w:rPr>
        <w:b/>
        <w:bCs/>
      </w:rPr>
      <w:tblPr/>
      <w:tcPr>
        <w:tcBorders>
          <w:top w:val="single" w:color="9BBB59" w:themeColor="accent3" w:sz="8" w:space="0"/>
          <w:left w:val="nil"/>
          <w:bottom w:val="single" w:color="9BBB59" w:themeColor="accent3"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3">
    <w:name w:val="Light Shading Accent 4"/>
    <w:basedOn w:val="37"/>
    <w:qFormat/>
    <w:uiPriority w:val="60"/>
    <w:pPr>
      <w:spacing w:after="0" w:line="240" w:lineRule="auto"/>
    </w:pPr>
    <w:rPr>
      <w:color w:val="604A7B" w:themeColor="accent4" w:themeShade="BF"/>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lastRow">
      <w:pPr>
        <w:spacing w:before="0" w:after="0" w:line="240" w:lineRule="auto"/>
      </w:pPr>
      <w:rPr>
        <w:b/>
        <w:bCs/>
      </w:rPr>
      <w:tblPr/>
      <w:tcPr>
        <w:tcBorders>
          <w:top w:val="single" w:color="8064A2" w:themeColor="accent4" w:sz="8" w:space="0"/>
          <w:left w:val="nil"/>
          <w:bottom w:val="single" w:color="8064A2" w:themeColor="accent4"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44">
    <w:name w:val="Light Shading Accent 5"/>
    <w:basedOn w:val="37"/>
    <w:qFormat/>
    <w:uiPriority w:val="60"/>
    <w:pPr>
      <w:spacing w:after="0" w:line="240" w:lineRule="auto"/>
    </w:pPr>
    <w:rPr>
      <w:color w:val="31859C" w:themeColor="accent5" w:themeShade="BF"/>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lastRow">
      <w:pPr>
        <w:spacing w:before="0" w:after="0" w:line="240" w:lineRule="auto"/>
      </w:pPr>
      <w:rPr>
        <w:b/>
        <w:bCs/>
      </w:rPr>
      <w:tblPr/>
      <w:tcPr>
        <w:tcBorders>
          <w:top w:val="single" w:color="4BACC6" w:themeColor="accent5" w:sz="8" w:space="0"/>
          <w:left w:val="nil"/>
          <w:bottom w:val="single" w:color="4BACC6" w:themeColor="accent5"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left w:val="nil"/>
          <w:right w:val="nil"/>
          <w:insideH w:val="nil"/>
          <w:insideV w:val="nil"/>
        </w:tcBorders>
        <w:shd w:val="clear" w:color="auto" w:fill="D2EAF0" w:themeFill="accent5" w:themeFillTint="3F"/>
      </w:tcPr>
    </w:tblStylePr>
  </w:style>
  <w:style w:type="table" w:styleId="45">
    <w:name w:val="Light Shading Accent 6"/>
    <w:basedOn w:val="37"/>
    <w:qFormat/>
    <w:uiPriority w:val="60"/>
    <w:pPr>
      <w:spacing w:after="0" w:line="240" w:lineRule="auto"/>
    </w:pPr>
    <w:rPr>
      <w:color w:val="E46C0A" w:themeColor="accent6" w:themeShade="BF"/>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lastRow">
      <w:pPr>
        <w:spacing w:before="0" w:after="0" w:line="240" w:lineRule="auto"/>
      </w:pPr>
      <w:rPr>
        <w:b/>
        <w:bCs/>
      </w:rPr>
      <w:tblPr/>
      <w:tcPr>
        <w:tcBorders>
          <w:top w:val="single" w:color="F79646" w:themeColor="accent6" w:sz="8" w:space="0"/>
          <w:left w:val="nil"/>
          <w:bottom w:val="single" w:color="F79646" w:themeColor="accent6" w:sz="8" w:space="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left w:val="nil"/>
          <w:right w:val="nil"/>
          <w:insideH w:val="nil"/>
          <w:insideV w:val="nil"/>
        </w:tcBorders>
        <w:shd w:val="clear" w:color="auto" w:fill="FDE5D1" w:themeFill="accent6" w:themeFillTint="3F"/>
      </w:tcPr>
    </w:tblStylePr>
  </w:style>
  <w:style w:type="table" w:styleId="46">
    <w:name w:val="Light List"/>
    <w:basedOn w:val="37"/>
    <w:qFormat/>
    <w:uiPriority w:val="61"/>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000000" w:themeFill="text1"/>
      </w:tcPr>
    </w:tblStylePr>
    <w:tblStylePr w:type="lastRow">
      <w:pPr>
        <w:spacing w:before="0" w:after="0" w:line="240" w:lineRule="auto"/>
      </w:pPr>
      <w:rPr>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tcBorders>
      </w:tcPr>
    </w:tblStylePr>
    <w:tblStylePr w:type="firstCol">
      <w:rPr>
        <w:b/>
        <w:bCs/>
      </w:rPr>
    </w:tblStylePr>
    <w:tblStylePr w:type="lastCol">
      <w:rPr>
        <w:b/>
        <w:bCs/>
      </w:r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style>
  <w:style w:type="table" w:styleId="47">
    <w:name w:val="Light List Accent 1"/>
    <w:basedOn w:val="37"/>
    <w:qFormat/>
    <w:uiPriority w:val="61"/>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F81BD" w:themeFill="accent1"/>
      </w:tcPr>
    </w:tblStylePr>
    <w:tblStylePr w:type="lastRow">
      <w:pPr>
        <w:spacing w:before="0" w:after="0" w:line="240" w:lineRule="auto"/>
      </w:pPr>
      <w:rPr>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tcBorders>
      </w:tcPr>
    </w:tblStylePr>
    <w:tblStylePr w:type="firstCol">
      <w:rPr>
        <w:b/>
        <w:bCs/>
      </w:rPr>
    </w:tblStylePr>
    <w:tblStylePr w:type="lastCol">
      <w:rPr>
        <w:b/>
        <w:bCs/>
      </w:r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style>
  <w:style w:type="table" w:styleId="48">
    <w:name w:val="Light List Accent 2"/>
    <w:basedOn w:val="37"/>
    <w:qFormat/>
    <w:uiPriority w:val="61"/>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C0504D" w:themeFill="accent2"/>
      </w:tcPr>
    </w:tblStylePr>
    <w:tblStylePr w:type="lastRow">
      <w:pPr>
        <w:spacing w:before="0" w:after="0" w:line="240" w:lineRule="auto"/>
      </w:pPr>
      <w:rPr>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tcBorders>
      </w:tcPr>
    </w:tblStylePr>
    <w:tblStylePr w:type="firstCol">
      <w:rPr>
        <w:b/>
        <w:bCs/>
      </w:rPr>
    </w:tblStylePr>
    <w:tblStylePr w:type="lastCol">
      <w:rPr>
        <w:b/>
        <w:bCs/>
      </w:r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style>
  <w:style w:type="table" w:styleId="49">
    <w:name w:val="Light List Accent 3"/>
    <w:basedOn w:val="37"/>
    <w:qFormat/>
    <w:uiPriority w:val="61"/>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9BBB59" w:themeFill="accent3"/>
      </w:tcPr>
    </w:tblStylePr>
    <w:tblStylePr w:type="lastRow">
      <w:pPr>
        <w:spacing w:before="0" w:after="0" w:line="240" w:lineRule="auto"/>
      </w:pPr>
      <w:rPr>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tcBorders>
      </w:tcPr>
    </w:tblStylePr>
    <w:tblStylePr w:type="firstCol">
      <w:rPr>
        <w:b/>
        <w:bCs/>
      </w:rPr>
    </w:tblStylePr>
    <w:tblStylePr w:type="lastCol">
      <w:rPr>
        <w:b/>
        <w:bCs/>
      </w:r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style>
  <w:style w:type="table" w:styleId="50">
    <w:name w:val="Light List Accent 4"/>
    <w:basedOn w:val="37"/>
    <w:qFormat/>
    <w:uiPriority w:val="61"/>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8064A2" w:themeFill="accent4"/>
      </w:tcPr>
    </w:tblStylePr>
    <w:tblStylePr w:type="lastRow">
      <w:pPr>
        <w:spacing w:before="0" w:after="0" w:line="240" w:lineRule="auto"/>
      </w:pPr>
      <w:rPr>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tcBorders>
      </w:tcPr>
    </w:tblStylePr>
    <w:tblStylePr w:type="firstCol">
      <w:rPr>
        <w:b/>
        <w:bCs/>
      </w:rPr>
    </w:tblStylePr>
    <w:tblStylePr w:type="lastCol">
      <w:rPr>
        <w:b/>
        <w:bCs/>
      </w:r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style>
  <w:style w:type="table" w:styleId="51">
    <w:name w:val="Light List Accent 5"/>
    <w:basedOn w:val="37"/>
    <w:qFormat/>
    <w:uiPriority w:val="61"/>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4BACC6" w:themeFill="accent5"/>
      </w:tcPr>
    </w:tblStylePr>
    <w:tblStylePr w:type="lastRow">
      <w:pPr>
        <w:spacing w:before="0" w:after="0" w:line="240" w:lineRule="auto"/>
      </w:pPr>
      <w:rPr>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tcBorders>
      </w:tcPr>
    </w:tblStylePr>
    <w:tblStylePr w:type="firstCol">
      <w:rPr>
        <w:b/>
        <w:bCs/>
      </w:rPr>
    </w:tblStylePr>
    <w:tblStylePr w:type="lastCol">
      <w:rPr>
        <w:b/>
        <w:bCs/>
      </w:r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style>
  <w:style w:type="table" w:styleId="52">
    <w:name w:val="Light List Accent 6"/>
    <w:basedOn w:val="37"/>
    <w:qFormat/>
    <w:uiPriority w:val="61"/>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shd w:val="clear" w:color="auto" w:fill="F79646" w:themeFill="accent6"/>
      </w:tcPr>
    </w:tblStylePr>
    <w:tblStylePr w:type="lastRow">
      <w:pPr>
        <w:spacing w:before="0" w:after="0" w:line="240" w:lineRule="auto"/>
      </w:pPr>
      <w:rPr>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tcBorders>
      </w:tcPr>
    </w:tblStylePr>
    <w:tblStylePr w:type="firstCol">
      <w:rPr>
        <w:b/>
        <w:bCs/>
      </w:rPr>
    </w:tblStylePr>
    <w:tblStylePr w:type="lastCol">
      <w:rPr>
        <w:b/>
        <w:bCs/>
      </w:r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style>
  <w:style w:type="table" w:styleId="53">
    <w:name w:val="Light Grid"/>
    <w:basedOn w:val="37"/>
    <w:qFormat/>
    <w:uiPriority w:val="62"/>
    <w:pPr>
      <w:spacing w:after="0" w:line="240" w:lineRule="auto"/>
    </w:p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18" w:space="0"/>
          <w:right w:val="single" w:color="000000" w:themeColor="tex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000000" w:themeColor="text1" w:sz="6" w:space="0"/>
          <w:left w:val="single" w:color="000000" w:themeColor="text1" w:sz="8" w:space="0"/>
          <w:bottom w:val="single" w:color="000000" w:themeColor="text1" w:sz="8" w:space="0"/>
          <w:right w:val="single" w:color="000000" w:themeColor="tex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000000" w:themeColor="text1" w:sz="8" w:space="0"/>
          <w:left w:val="single" w:color="000000" w:themeColor="text1" w:sz="8" w:space="0"/>
          <w:bottom w:val="single" w:color="000000" w:themeColor="text1" w:sz="8" w:space="0"/>
          <w:right w:val="single" w:color="000000" w:themeColor="text1" w:sz="8" w:space="0"/>
        </w:tcBorders>
      </w:tcPr>
    </w:tblStylePr>
    <w:tblStylePr w:type="band1Vert">
      <w:tblPr/>
      <w:tcPr>
        <w:tcBorders>
          <w:top w:val="single" w:color="000000" w:themeColor="text1" w:sz="8" w:space="0"/>
          <w:left w:val="single" w:color="000000" w:themeColor="text1" w:sz="8" w:space="0"/>
          <w:bottom w:val="single" w:color="000000" w:themeColor="text1" w:sz="8" w:space="0"/>
          <w:right w:val="single" w:color="000000" w:themeColor="text1" w:sz="8" w:space="0"/>
        </w:tcBorders>
        <w:shd w:val="clear" w:color="auto" w:fill="BFBFBF" w:themeFill="text1" w:themeFillTint="3F"/>
      </w:tcPr>
    </w:tblStylePr>
    <w:tblStylePr w:type="band1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shd w:val="clear" w:color="auto" w:fill="BFBFBF" w:themeFill="text1" w:themeFillTint="3F"/>
      </w:tcPr>
    </w:tblStylePr>
    <w:tblStylePr w:type="band2Horz">
      <w:tblPr/>
      <w:tcPr>
        <w:tcBorders>
          <w:top w:val="single" w:color="000000" w:themeColor="text1" w:sz="8" w:space="0"/>
          <w:left w:val="single" w:color="000000" w:themeColor="text1" w:sz="8" w:space="0"/>
          <w:bottom w:val="single" w:color="000000" w:themeColor="text1" w:sz="8" w:space="0"/>
          <w:right w:val="single" w:color="000000" w:themeColor="text1" w:sz="8" w:space="0"/>
          <w:insideV w:val="single" w:sz="8" w:space="0"/>
        </w:tcBorders>
      </w:tcPr>
    </w:tblStylePr>
  </w:style>
  <w:style w:type="table" w:styleId="54">
    <w:name w:val="Light Grid Accent 1"/>
    <w:basedOn w:val="37"/>
    <w:qFormat/>
    <w:uiPriority w:val="62"/>
    <w:pPr>
      <w:spacing w:after="0" w:line="240" w:lineRule="auto"/>
    </w:p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18" w:space="0"/>
          <w:right w:val="single" w:color="4F81BD" w:themeColor="accent1"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F81BD" w:themeColor="accent1" w:sz="6" w:space="0"/>
          <w:left w:val="single" w:color="4F81BD" w:themeColor="accent1" w:sz="8" w:space="0"/>
          <w:bottom w:val="single" w:color="4F81BD" w:themeColor="accent1" w:sz="8" w:space="0"/>
          <w:right w:val="single" w:color="4F81BD" w:themeColor="accent1"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tcPr>
    </w:tblStylePr>
    <w:tblStylePr w:type="band1Vert">
      <w:tblPr/>
      <w:tcPr>
        <w:tcBorders>
          <w:top w:val="single" w:color="4F81BD" w:themeColor="accent1" w:sz="8" w:space="0"/>
          <w:left w:val="single" w:color="4F81BD" w:themeColor="accent1" w:sz="8" w:space="0"/>
          <w:bottom w:val="single" w:color="4F81BD" w:themeColor="accent1" w:sz="8" w:space="0"/>
          <w:right w:val="single" w:color="4F81BD" w:themeColor="accent1" w:sz="8" w:space="0"/>
        </w:tcBorders>
        <w:shd w:val="clear" w:color="auto" w:fill="D3DFEE" w:themeFill="accent1" w:themeFillTint="3F"/>
      </w:tcPr>
    </w:tblStylePr>
    <w:tblStylePr w:type="band1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shd w:val="clear" w:color="auto" w:fill="D3DFEE" w:themeFill="accent1" w:themeFillTint="3F"/>
      </w:tcPr>
    </w:tblStylePr>
    <w:tblStylePr w:type="band2Horz">
      <w:tblPr/>
      <w:tcPr>
        <w:tcBorders>
          <w:top w:val="single" w:color="4F81BD" w:themeColor="accent1" w:sz="8" w:space="0"/>
          <w:left w:val="single" w:color="4F81BD" w:themeColor="accent1" w:sz="8" w:space="0"/>
          <w:bottom w:val="single" w:color="4F81BD" w:themeColor="accent1" w:sz="8" w:space="0"/>
          <w:right w:val="single" w:color="4F81BD" w:themeColor="accent1" w:sz="8" w:space="0"/>
          <w:insideV w:val="single" w:sz="8" w:space="0"/>
        </w:tcBorders>
      </w:tcPr>
    </w:tblStylePr>
  </w:style>
  <w:style w:type="table" w:styleId="55">
    <w:name w:val="Light Grid Accent 2"/>
    <w:basedOn w:val="37"/>
    <w:qFormat/>
    <w:uiPriority w:val="62"/>
    <w:pPr>
      <w:spacing w:after="0" w:line="240" w:lineRule="auto"/>
    </w:p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18" w:space="0"/>
          <w:right w:val="single" w:color="C0504D" w:themeColor="accent2"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C0504D" w:themeColor="accent2" w:sz="6" w:space="0"/>
          <w:left w:val="single" w:color="C0504D" w:themeColor="accent2" w:sz="8" w:space="0"/>
          <w:bottom w:val="single" w:color="C0504D" w:themeColor="accent2" w:sz="8" w:space="0"/>
          <w:right w:val="single" w:color="C0504D" w:themeColor="accent2"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tcPr>
    </w:tblStylePr>
    <w:tblStylePr w:type="band1Vert">
      <w:tblPr/>
      <w:tcPr>
        <w:tcBorders>
          <w:top w:val="single" w:color="C0504D" w:themeColor="accent2" w:sz="8" w:space="0"/>
          <w:left w:val="single" w:color="C0504D" w:themeColor="accent2" w:sz="8" w:space="0"/>
          <w:bottom w:val="single" w:color="C0504D" w:themeColor="accent2" w:sz="8" w:space="0"/>
          <w:right w:val="single" w:color="C0504D" w:themeColor="accent2" w:sz="8" w:space="0"/>
        </w:tcBorders>
        <w:shd w:val="clear" w:color="auto" w:fill="EFD3D3" w:themeFill="accent2" w:themeFillTint="3F"/>
      </w:tcPr>
    </w:tblStylePr>
    <w:tblStylePr w:type="band1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shd w:val="clear" w:color="auto" w:fill="EFD3D3" w:themeFill="accent2" w:themeFillTint="3F"/>
      </w:tcPr>
    </w:tblStylePr>
    <w:tblStylePr w:type="band2Horz">
      <w:tblPr/>
      <w:tcPr>
        <w:tcBorders>
          <w:top w:val="single" w:color="C0504D" w:themeColor="accent2" w:sz="8" w:space="0"/>
          <w:left w:val="single" w:color="C0504D" w:themeColor="accent2" w:sz="8" w:space="0"/>
          <w:bottom w:val="single" w:color="C0504D" w:themeColor="accent2" w:sz="8" w:space="0"/>
          <w:right w:val="single" w:color="C0504D" w:themeColor="accent2" w:sz="8" w:space="0"/>
          <w:insideV w:val="single" w:sz="8" w:space="0"/>
        </w:tcBorders>
      </w:tcPr>
    </w:tblStylePr>
  </w:style>
  <w:style w:type="table" w:styleId="56">
    <w:name w:val="Light Grid Accent 3"/>
    <w:basedOn w:val="37"/>
    <w:qFormat/>
    <w:uiPriority w:val="62"/>
    <w:pPr>
      <w:spacing w:after="0" w:line="240" w:lineRule="auto"/>
    </w:p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18" w:space="0"/>
          <w:right w:val="single" w:color="9BBB59" w:themeColor="accent3"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9BBB59" w:themeColor="accent3" w:sz="6" w:space="0"/>
          <w:left w:val="single" w:color="9BBB59" w:themeColor="accent3" w:sz="8" w:space="0"/>
          <w:bottom w:val="single" w:color="9BBB59" w:themeColor="accent3" w:sz="8" w:space="0"/>
          <w:right w:val="single" w:color="9BBB59" w:themeColor="accent3"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tcPr>
    </w:tblStylePr>
    <w:tblStylePr w:type="band1Vert">
      <w:tblPr/>
      <w:tcPr>
        <w:tcBorders>
          <w:top w:val="single" w:color="9BBB59" w:themeColor="accent3" w:sz="8" w:space="0"/>
          <w:left w:val="single" w:color="9BBB59" w:themeColor="accent3" w:sz="8" w:space="0"/>
          <w:bottom w:val="single" w:color="9BBB59" w:themeColor="accent3" w:sz="8" w:space="0"/>
          <w:right w:val="single" w:color="9BBB59" w:themeColor="accent3" w:sz="8" w:space="0"/>
        </w:tcBorders>
        <w:shd w:val="clear" w:color="auto" w:fill="E6EED5" w:themeFill="accent3" w:themeFillTint="3F"/>
      </w:tcPr>
    </w:tblStylePr>
    <w:tblStylePr w:type="band1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shd w:val="clear" w:color="auto" w:fill="E6EED5" w:themeFill="accent3" w:themeFillTint="3F"/>
      </w:tcPr>
    </w:tblStylePr>
    <w:tblStylePr w:type="band2Horz">
      <w:tblPr/>
      <w:tcPr>
        <w:tcBorders>
          <w:top w:val="single" w:color="9BBB59" w:themeColor="accent3" w:sz="8" w:space="0"/>
          <w:left w:val="single" w:color="9BBB59" w:themeColor="accent3" w:sz="8" w:space="0"/>
          <w:bottom w:val="single" w:color="9BBB59" w:themeColor="accent3" w:sz="8" w:space="0"/>
          <w:right w:val="single" w:color="9BBB59" w:themeColor="accent3" w:sz="8" w:space="0"/>
          <w:insideV w:val="single" w:sz="8" w:space="0"/>
        </w:tcBorders>
      </w:tcPr>
    </w:tblStylePr>
  </w:style>
  <w:style w:type="table" w:styleId="57">
    <w:name w:val="Light Grid Accent 4"/>
    <w:basedOn w:val="37"/>
    <w:qFormat/>
    <w:uiPriority w:val="62"/>
    <w:pPr>
      <w:spacing w:after="0" w:line="240" w:lineRule="auto"/>
    </w:p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18" w:space="0"/>
          <w:right w:val="single" w:color="8064A2" w:themeColor="accent4"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8064A2" w:themeColor="accent4" w:sz="6" w:space="0"/>
          <w:left w:val="single" w:color="8064A2" w:themeColor="accent4" w:sz="8" w:space="0"/>
          <w:bottom w:val="single" w:color="8064A2" w:themeColor="accent4" w:sz="8" w:space="0"/>
          <w:right w:val="single" w:color="8064A2" w:themeColor="accent4"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tcPr>
    </w:tblStylePr>
    <w:tblStylePr w:type="band1Vert">
      <w:tblPr/>
      <w:tcPr>
        <w:tcBorders>
          <w:top w:val="single" w:color="8064A2" w:themeColor="accent4" w:sz="8" w:space="0"/>
          <w:left w:val="single" w:color="8064A2" w:themeColor="accent4" w:sz="8" w:space="0"/>
          <w:bottom w:val="single" w:color="8064A2" w:themeColor="accent4" w:sz="8" w:space="0"/>
          <w:right w:val="single" w:color="8064A2" w:themeColor="accent4" w:sz="8" w:space="0"/>
        </w:tcBorders>
        <w:shd w:val="clear" w:color="auto" w:fill="DFD8E8" w:themeFill="accent4" w:themeFillTint="3F"/>
      </w:tcPr>
    </w:tblStylePr>
    <w:tblStylePr w:type="band1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shd w:val="clear" w:color="auto" w:fill="DFD8E8" w:themeFill="accent4" w:themeFillTint="3F"/>
      </w:tcPr>
    </w:tblStylePr>
    <w:tblStylePr w:type="band2Horz">
      <w:tblPr/>
      <w:tcPr>
        <w:tcBorders>
          <w:top w:val="single" w:color="8064A2" w:themeColor="accent4" w:sz="8" w:space="0"/>
          <w:left w:val="single" w:color="8064A2" w:themeColor="accent4" w:sz="8" w:space="0"/>
          <w:bottom w:val="single" w:color="8064A2" w:themeColor="accent4" w:sz="8" w:space="0"/>
          <w:right w:val="single" w:color="8064A2" w:themeColor="accent4" w:sz="8" w:space="0"/>
          <w:insideV w:val="single" w:sz="8" w:space="0"/>
        </w:tcBorders>
      </w:tcPr>
    </w:tblStylePr>
  </w:style>
  <w:style w:type="table" w:styleId="58">
    <w:name w:val="Light Grid Accent 5"/>
    <w:basedOn w:val="37"/>
    <w:qFormat/>
    <w:uiPriority w:val="62"/>
    <w:pPr>
      <w:spacing w:after="0" w:line="240" w:lineRule="auto"/>
    </w:p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18" w:space="0"/>
          <w:right w:val="single" w:color="4BACC6" w:themeColor="accent5"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4BACC6" w:themeColor="accent5" w:sz="6" w:space="0"/>
          <w:left w:val="single" w:color="4BACC6" w:themeColor="accent5" w:sz="8" w:space="0"/>
          <w:bottom w:val="single" w:color="4BACC6" w:themeColor="accent5" w:sz="8" w:space="0"/>
          <w:right w:val="single" w:color="4BACC6" w:themeColor="accent5"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tcPr>
    </w:tblStylePr>
    <w:tblStylePr w:type="band1Vert">
      <w:tblPr/>
      <w:tcPr>
        <w:tcBorders>
          <w:top w:val="single" w:color="4BACC6" w:themeColor="accent5" w:sz="8" w:space="0"/>
          <w:left w:val="single" w:color="4BACC6" w:themeColor="accent5" w:sz="8" w:space="0"/>
          <w:bottom w:val="single" w:color="4BACC6" w:themeColor="accent5" w:sz="8" w:space="0"/>
          <w:right w:val="single" w:color="4BACC6" w:themeColor="accent5" w:sz="8" w:space="0"/>
        </w:tcBorders>
        <w:shd w:val="clear" w:color="auto" w:fill="D2EAF0" w:themeFill="accent5" w:themeFillTint="3F"/>
      </w:tcPr>
    </w:tblStylePr>
    <w:tblStylePr w:type="band1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shd w:val="clear" w:color="auto" w:fill="D2EAF0" w:themeFill="accent5" w:themeFillTint="3F"/>
      </w:tcPr>
    </w:tblStylePr>
    <w:tblStylePr w:type="band2Horz">
      <w:tblPr/>
      <w:tcPr>
        <w:tcBorders>
          <w:top w:val="single" w:color="4BACC6" w:themeColor="accent5" w:sz="8" w:space="0"/>
          <w:left w:val="single" w:color="4BACC6" w:themeColor="accent5" w:sz="8" w:space="0"/>
          <w:bottom w:val="single" w:color="4BACC6" w:themeColor="accent5" w:sz="8" w:space="0"/>
          <w:right w:val="single" w:color="4BACC6" w:themeColor="accent5" w:sz="8" w:space="0"/>
          <w:insideV w:val="single" w:sz="8" w:space="0"/>
        </w:tcBorders>
      </w:tcPr>
    </w:tblStylePr>
  </w:style>
  <w:style w:type="table" w:styleId="59">
    <w:name w:val="Light Grid Accent 6"/>
    <w:basedOn w:val="37"/>
    <w:qFormat/>
    <w:uiPriority w:val="62"/>
    <w:pPr>
      <w:spacing w:after="0" w:line="240" w:lineRule="auto"/>
    </w:p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blStylePr w:type="firstRow">
      <w:pPr>
        <w:spacing w:before="0" w:after="0" w:line="240" w:lineRule="auto"/>
      </w:pPr>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18" w:space="0"/>
          <w:right w:val="single" w:color="F79646" w:themeColor="accent6" w:sz="8" w:space="0"/>
          <w:insideH w:val="nil"/>
          <w:insideV w:val="single" w:sz="8" w:space="0"/>
        </w:tcBorders>
      </w:tcPr>
    </w:tblStylePr>
    <w:tblStylePr w:type="lastRow">
      <w:pPr>
        <w:spacing w:before="0" w:after="0" w:line="240" w:lineRule="auto"/>
      </w:pPr>
      <w:rPr>
        <w:rFonts w:asciiTheme="majorHAnsi" w:hAnsiTheme="majorHAnsi" w:eastAsiaTheme="majorEastAsia" w:cstheme="majorBidi"/>
        <w:b/>
        <w:bCs/>
      </w:rPr>
      <w:tblPr/>
      <w:tcPr>
        <w:tcBorders>
          <w:top w:val="double" w:color="F79646" w:themeColor="accent6" w:sz="6" w:space="0"/>
          <w:left w:val="single" w:color="F79646" w:themeColor="accent6" w:sz="8" w:space="0"/>
          <w:bottom w:val="single" w:color="F79646" w:themeColor="accent6" w:sz="8" w:space="0"/>
          <w:right w:val="single" w:color="F79646" w:themeColor="accent6" w:sz="8" w:space="0"/>
          <w:insideH w:val="nil"/>
          <w:insideV w:val="single" w:sz="8" w:space="0"/>
        </w:tcBorders>
      </w:tcPr>
    </w:tblStylePr>
    <w:tblStylePr w:type="firstCol">
      <w:rPr>
        <w:rFonts w:asciiTheme="majorHAnsi" w:hAnsiTheme="majorHAnsi" w:eastAsiaTheme="majorEastAsia" w:cstheme="majorBidi"/>
        <w:b/>
        <w:bCs/>
      </w:rPr>
    </w:tblStylePr>
    <w:tblStylePr w:type="lastCol">
      <w:rPr>
        <w:rFonts w:asciiTheme="majorHAnsi" w:hAnsiTheme="majorHAnsi" w:eastAsiaTheme="majorEastAsia" w:cstheme="majorBidi"/>
        <w:b/>
        <w:bCs/>
      </w:rPr>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tcPr>
    </w:tblStylePr>
    <w:tblStylePr w:type="band1Vert">
      <w:tblPr/>
      <w:tcPr>
        <w:tcBorders>
          <w:top w:val="single" w:color="F79646" w:themeColor="accent6" w:sz="8" w:space="0"/>
          <w:left w:val="single" w:color="F79646" w:themeColor="accent6" w:sz="8" w:space="0"/>
          <w:bottom w:val="single" w:color="F79646" w:themeColor="accent6" w:sz="8" w:space="0"/>
          <w:right w:val="single" w:color="F79646" w:themeColor="accent6" w:sz="8" w:space="0"/>
        </w:tcBorders>
        <w:shd w:val="clear" w:color="auto" w:fill="FDE5D1" w:themeFill="accent6" w:themeFillTint="3F"/>
      </w:tcPr>
    </w:tblStylePr>
    <w:tblStylePr w:type="band1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shd w:val="clear" w:color="auto" w:fill="FDE5D1" w:themeFill="accent6" w:themeFillTint="3F"/>
      </w:tcPr>
    </w:tblStylePr>
    <w:tblStylePr w:type="band2Horz">
      <w:tblPr/>
      <w:tcPr>
        <w:tcBorders>
          <w:top w:val="single" w:color="F79646" w:themeColor="accent6" w:sz="8" w:space="0"/>
          <w:left w:val="single" w:color="F79646" w:themeColor="accent6" w:sz="8" w:space="0"/>
          <w:bottom w:val="single" w:color="F79646" w:themeColor="accent6" w:sz="8" w:space="0"/>
          <w:right w:val="single" w:color="F79646" w:themeColor="accent6" w:sz="8" w:space="0"/>
          <w:insideV w:val="single" w:sz="8" w:space="0"/>
        </w:tcBorders>
      </w:tcPr>
    </w:tblStylePr>
  </w:style>
  <w:style w:type="table" w:styleId="60">
    <w:name w:val="Medium Shading 1"/>
    <w:basedOn w:val="37"/>
    <w:qFormat/>
    <w:uiPriority w:val="63"/>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nil"/>
          <w:insideV w:val="nil"/>
        </w:tcBorders>
        <w:shd w:val="clear" w:color="auto" w:fill="000000" w:themeFill="text1"/>
      </w:tcPr>
    </w:tblStylePr>
    <w:tblStylePr w:type="lastRow">
      <w:pPr>
        <w:spacing w:before="0" w:after="0" w:line="240" w:lineRule="auto"/>
      </w:pPr>
      <w:rPr>
        <w:b/>
        <w:bCs/>
      </w:rPr>
      <w:tblPr/>
      <w:tcPr>
        <w:tcBorders>
          <w:top w:val="double" w:color="3F3F3F" w:themeColor="text1" w:themeTint="BF" w:sz="6" w:space="0"/>
          <w:left w:val="single" w:color="3F3F3F" w:themeColor="text1" w:themeTint="BF" w:sz="8" w:space="0"/>
          <w:bottom w:val="single" w:color="3F3F3F" w:themeColor="text1" w:themeTint="BF" w:sz="8" w:space="0"/>
          <w:right w:val="single" w:color="3F3F3F" w:themeColor="text1" w:themeTint="BF" w:sz="8" w:space="0"/>
          <w:insideH w:val="nil"/>
          <w:insideV w:val="nil"/>
        </w:tcBorders>
      </w:tcPr>
    </w:tblStylePr>
    <w:tblStylePr w:type="firstCol">
      <w:rPr>
        <w:b/>
        <w:bCs/>
      </w:rPr>
    </w:tblStylePr>
    <w:tblStylePr w:type="lastCol">
      <w:rPr>
        <w:b/>
        <w:bCs/>
      </w:rPr>
    </w:tblStylePr>
    <w:tblStylePr w:type="band1Vert">
      <w:tblPr/>
      <w:tcPr>
        <w:shd w:val="clear" w:color="auto" w:fill="BFBFBF" w:themeFill="text1" w:themeFillTint="3F"/>
      </w:tcPr>
    </w:tblStylePr>
    <w:tblStylePr w:type="band1Horz">
      <w:tblPr/>
      <w:tcPr>
        <w:tcBorders>
          <w:insideH w:val="nil"/>
          <w:insideV w:val="nil"/>
        </w:tcBorders>
        <w:shd w:val="clear" w:color="auto" w:fill="BFBFBF" w:themeFill="text1" w:themeFillTint="3F"/>
      </w:tcPr>
    </w:tblStylePr>
    <w:tblStylePr w:type="band2Horz">
      <w:tblPr/>
      <w:tcPr>
        <w:tcBorders>
          <w:insideH w:val="nil"/>
          <w:insideV w:val="nil"/>
        </w:tcBorders>
      </w:tcPr>
    </w:tblStylePr>
  </w:style>
  <w:style w:type="table" w:styleId="61">
    <w:name w:val="Medium Shading 1 Accent 1"/>
    <w:basedOn w:val="37"/>
    <w:qFormat/>
    <w:uiPriority w:val="63"/>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shd w:val="clear" w:color="auto" w:fill="4F81BD" w:themeFill="accent1"/>
      </w:tcPr>
    </w:tblStylePr>
    <w:tblStylePr w:type="lastRow">
      <w:pPr>
        <w:spacing w:before="0" w:after="0" w:line="240" w:lineRule="auto"/>
      </w:pPr>
      <w:rPr>
        <w:b/>
        <w:bCs/>
      </w:rPr>
      <w:tblPr/>
      <w:tcPr>
        <w:tcBorders>
          <w:top w:val="double" w:color="7BA0CD" w:themeColor="accent1" w:themeTint="BF" w:sz="6" w:space="0"/>
          <w:left w:val="single" w:color="7BA0CD" w:themeColor="accent1" w:themeTint="BF" w:sz="8" w:space="0"/>
          <w:bottom w:val="single" w:color="7BA0CD" w:themeColor="accent1" w:themeTint="BF" w:sz="8" w:space="0"/>
          <w:right w:val="single" w:color="7BA0CD" w:themeColor="accent1" w:themeTint="BF" w:sz="8" w:space="0"/>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62">
    <w:name w:val="Medium Shading 1 Accent 2"/>
    <w:basedOn w:val="37"/>
    <w:qFormat/>
    <w:uiPriority w:val="63"/>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shd w:val="clear" w:color="auto" w:fill="C0504D" w:themeFill="accent2"/>
      </w:tcPr>
    </w:tblStylePr>
    <w:tblStylePr w:type="lastRow">
      <w:pPr>
        <w:spacing w:before="0" w:after="0" w:line="240" w:lineRule="auto"/>
      </w:pPr>
      <w:rPr>
        <w:b/>
        <w:bCs/>
      </w:rPr>
      <w:tblPr/>
      <w:tcPr>
        <w:tcBorders>
          <w:top w:val="double" w:color="CF7B79" w:themeColor="accent2" w:themeTint="BF" w:sz="6" w:space="0"/>
          <w:left w:val="single" w:color="CF7B79" w:themeColor="accent2" w:themeTint="BF" w:sz="8" w:space="0"/>
          <w:bottom w:val="single" w:color="CF7B79" w:themeColor="accent2" w:themeTint="BF" w:sz="8" w:space="0"/>
          <w:right w:val="single" w:color="CF7B79" w:themeColor="accent2" w:themeTint="BF" w:sz="8" w:space="0"/>
          <w:insideH w:val="nil"/>
          <w:insideV w:val="nil"/>
        </w:tcBorders>
      </w:tcPr>
    </w:tblStylePr>
    <w:tblStylePr w:type="firstCol">
      <w:rPr>
        <w:b/>
        <w:bCs/>
      </w:rPr>
    </w:tblStylePr>
    <w:tblStylePr w:type="lastCol">
      <w:rPr>
        <w:b/>
        <w:bCs/>
      </w:rPr>
    </w:tblStylePr>
    <w:tblStylePr w:type="band1Vert">
      <w:tblPr/>
      <w:tcPr>
        <w:shd w:val="clear" w:color="auto" w:fill="EFD3D3" w:themeFill="accent2" w:themeFillTint="3F"/>
      </w:tcPr>
    </w:tblStylePr>
    <w:tblStylePr w:type="band1Horz">
      <w:tblPr/>
      <w:tcPr>
        <w:tcBorders>
          <w:insideH w:val="nil"/>
          <w:insideV w:val="nil"/>
        </w:tcBorders>
        <w:shd w:val="clear" w:color="auto" w:fill="EFD3D3" w:themeFill="accent2" w:themeFillTint="3F"/>
      </w:tcPr>
    </w:tblStylePr>
    <w:tblStylePr w:type="band2Horz">
      <w:tblPr/>
      <w:tcPr>
        <w:tcBorders>
          <w:insideH w:val="nil"/>
          <w:insideV w:val="nil"/>
        </w:tcBorders>
      </w:tcPr>
    </w:tblStylePr>
  </w:style>
  <w:style w:type="table" w:styleId="63">
    <w:name w:val="Medium Shading 1 Accent 3"/>
    <w:basedOn w:val="37"/>
    <w:qFormat/>
    <w:uiPriority w:val="63"/>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shd w:val="clear" w:color="auto" w:fill="9BBB59" w:themeFill="accent3"/>
      </w:tcPr>
    </w:tblStylePr>
    <w:tblStylePr w:type="lastRow">
      <w:pPr>
        <w:spacing w:before="0" w:after="0" w:line="240" w:lineRule="auto"/>
      </w:pPr>
      <w:rPr>
        <w:b/>
        <w:bCs/>
      </w:rPr>
      <w:tblPr/>
      <w:tcPr>
        <w:tcBorders>
          <w:top w:val="double" w:color="B4CC82" w:themeColor="accent3" w:themeTint="BF" w:sz="6" w:space="0"/>
          <w:left w:val="single" w:color="B4CC82" w:themeColor="accent3" w:themeTint="BF" w:sz="8" w:space="0"/>
          <w:bottom w:val="single" w:color="B4CC82" w:themeColor="accent3" w:themeTint="BF" w:sz="8" w:space="0"/>
          <w:right w:val="single" w:color="B4CC82" w:themeColor="accent3" w:themeTint="BF" w:sz="8" w:space="0"/>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64">
    <w:name w:val="Medium Shading 1 Accent 4"/>
    <w:basedOn w:val="37"/>
    <w:qFormat/>
    <w:uiPriority w:val="63"/>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shd w:val="clear" w:color="auto" w:fill="8064A2" w:themeFill="accent4"/>
      </w:tcPr>
    </w:tblStylePr>
    <w:tblStylePr w:type="lastRow">
      <w:pPr>
        <w:spacing w:before="0" w:after="0" w:line="240" w:lineRule="auto"/>
      </w:pPr>
      <w:rPr>
        <w:b/>
        <w:bCs/>
      </w:rPr>
      <w:tblPr/>
      <w:tcPr>
        <w:tcBorders>
          <w:top w:val="double" w:color="9F8AB9" w:themeColor="accent4" w:themeTint="BF" w:sz="6" w:space="0"/>
          <w:left w:val="single" w:color="9F8AB9" w:themeColor="accent4" w:themeTint="BF" w:sz="8" w:space="0"/>
          <w:bottom w:val="single" w:color="9F8AB9" w:themeColor="accent4" w:themeTint="BF" w:sz="8" w:space="0"/>
          <w:right w:val="single" w:color="9F8AB9" w:themeColor="accent4" w:themeTint="BF" w:sz="8" w:space="0"/>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65">
    <w:name w:val="Medium Shading 1 Accent 5"/>
    <w:basedOn w:val="37"/>
    <w:qFormat/>
    <w:uiPriority w:val="63"/>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shd w:val="clear" w:color="auto" w:fill="4BACC6" w:themeFill="accent5"/>
      </w:tcPr>
    </w:tblStylePr>
    <w:tblStylePr w:type="lastRow">
      <w:pPr>
        <w:spacing w:before="0" w:after="0" w:line="240" w:lineRule="auto"/>
      </w:pPr>
      <w:rPr>
        <w:b/>
        <w:bCs/>
      </w:rPr>
      <w:tblPr/>
      <w:tcPr>
        <w:tcBorders>
          <w:top w:val="double" w:color="78C0D4" w:themeColor="accent5" w:themeTint="BF" w:sz="6" w:space="0"/>
          <w:left w:val="single" w:color="78C0D4" w:themeColor="accent5" w:themeTint="BF" w:sz="8" w:space="0"/>
          <w:bottom w:val="single" w:color="78C0D4" w:themeColor="accent5" w:themeTint="BF" w:sz="8" w:space="0"/>
          <w:right w:val="single" w:color="78C0D4" w:themeColor="accent5" w:themeTint="BF" w:sz="8" w:space="0"/>
          <w:insideH w:val="nil"/>
          <w:insideV w:val="nil"/>
        </w:tcBorders>
      </w:tcPr>
    </w:tblStylePr>
    <w:tblStylePr w:type="firstCol">
      <w:rPr>
        <w:b/>
        <w:bCs/>
      </w:rPr>
    </w:tblStylePr>
    <w:tblStylePr w:type="lastCol">
      <w:rPr>
        <w:b/>
        <w:bCs/>
      </w:rPr>
    </w:tblStylePr>
    <w:tblStylePr w:type="band1Vert">
      <w:tblPr/>
      <w:tcPr>
        <w:shd w:val="clear" w:color="auto" w:fill="D2EAF0" w:themeFill="accent5" w:themeFillTint="3F"/>
      </w:tcPr>
    </w:tblStylePr>
    <w:tblStylePr w:type="band1Horz">
      <w:tblPr/>
      <w:tcPr>
        <w:tcBorders>
          <w:insideH w:val="nil"/>
          <w:insideV w:val="nil"/>
        </w:tcBorders>
        <w:shd w:val="clear" w:color="auto" w:fill="D2EAF0" w:themeFill="accent5" w:themeFillTint="3F"/>
      </w:tcPr>
    </w:tblStylePr>
    <w:tblStylePr w:type="band2Horz">
      <w:tblPr/>
      <w:tcPr>
        <w:tcBorders>
          <w:insideH w:val="nil"/>
          <w:insideV w:val="nil"/>
        </w:tcBorders>
      </w:tcPr>
    </w:tblStylePr>
  </w:style>
  <w:style w:type="table" w:styleId="66">
    <w:name w:val="Medium Shading 1 Accent 6"/>
    <w:basedOn w:val="37"/>
    <w:qFormat/>
    <w:uiPriority w:val="63"/>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shd w:val="clear" w:color="auto" w:fill="F79646" w:themeFill="accent6"/>
      </w:tcPr>
    </w:tblStylePr>
    <w:tblStylePr w:type="lastRow">
      <w:pPr>
        <w:spacing w:before="0" w:after="0" w:line="240" w:lineRule="auto"/>
      </w:pPr>
      <w:rPr>
        <w:b/>
        <w:bCs/>
      </w:rPr>
      <w:tblPr/>
      <w:tcPr>
        <w:tcBorders>
          <w:top w:val="double" w:color="F9B074" w:themeColor="accent6" w:themeTint="BF" w:sz="6" w:space="0"/>
          <w:left w:val="single" w:color="F9B074" w:themeColor="accent6" w:themeTint="BF" w:sz="8" w:space="0"/>
          <w:bottom w:val="single" w:color="F9B074" w:themeColor="accent6" w:themeTint="BF" w:sz="8" w:space="0"/>
          <w:right w:val="single" w:color="F9B074"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FDE5D1" w:themeFill="accent6" w:themeFillTint="3F"/>
      </w:tcPr>
    </w:tblStylePr>
    <w:tblStylePr w:type="band1Horz">
      <w:tblPr/>
      <w:tcPr>
        <w:tcBorders>
          <w:insideH w:val="nil"/>
          <w:insideV w:val="nil"/>
        </w:tcBorders>
        <w:shd w:val="clear" w:color="auto" w:fill="FDE5D1" w:themeFill="accent6" w:themeFillTint="3F"/>
      </w:tcPr>
    </w:tblStylePr>
    <w:tblStylePr w:type="band2Horz">
      <w:tblPr/>
      <w:tcPr>
        <w:tcBorders>
          <w:insideH w:val="nil"/>
          <w:insideV w:val="nil"/>
        </w:tcBorders>
      </w:tcPr>
    </w:tblStylePr>
  </w:style>
  <w:style w:type="table" w:styleId="67">
    <w:name w:val="Medium Shading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000000" w:themeFill="tex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8">
    <w:name w:val="Medium Shading 2 Accent 1"/>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F81BD" w:themeFill="accent1"/>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69">
    <w:name w:val="Medium Shading 2 Accent 2"/>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C0504D" w:themeFill="accent2"/>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0">
    <w:name w:val="Medium Shading 2 Accent 3"/>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9BBB59" w:themeFill="accent3"/>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1">
    <w:name w:val="Medium Shading 2 Accent 4"/>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8064A2" w:themeFill="accent4"/>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2">
    <w:name w:val="Medium Shading 2 Accent 5"/>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4BACC6" w:themeFill="accent5"/>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3">
    <w:name w:val="Medium Shading 2 Accent 6"/>
    <w:basedOn w:val="37"/>
    <w:qFormat/>
    <w:uiPriority w:val="64"/>
    <w:pPr>
      <w:spacing w:after="0" w:line="240" w:lineRule="auto"/>
    </w:pPr>
    <w:tblPr>
      <w:tblBorders>
        <w:top w:val="single" w:color="auto" w:sz="18" w:space="0"/>
        <w:bottom w:val="single" w:color="auto" w:sz="18" w:space="0"/>
      </w:tblBorders>
      <w:tblCellMar>
        <w:top w:w="0" w:type="dxa"/>
        <w:left w:w="108" w:type="dxa"/>
        <w:bottom w:w="0" w:type="dxa"/>
        <w:right w:w="108" w:type="dxa"/>
      </w:tblCellMar>
    </w:tblPr>
    <w:tblStylePr w:type="firstRow">
      <w:pPr>
        <w:spacing w:before="0" w:after="0" w:line="240" w:lineRule="auto"/>
      </w:pPr>
      <w:rPr>
        <w:b/>
        <w:bCs/>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color="auto" w:sz="6" w:space="0"/>
          <w:left w:val="nil"/>
          <w:bottom w:val="single" w:color="auto" w:sz="18" w:space="0"/>
          <w:right w:val="nil"/>
          <w:insideH w:val="nil"/>
          <w:insideV w:val="nil"/>
        </w:tcBorders>
        <w:shd w:val="clear" w:color="auto" w:fill="FFFFFF" w:themeFill="background1"/>
      </w:tcPr>
    </w:tblStylePr>
    <w:tblStylePr w:type="firstCol">
      <w:rPr>
        <w:b/>
        <w:bCs/>
        <w:color w:val="FFFFFF" w:themeColor="background1"/>
        <w14:textFill>
          <w14:solidFill>
            <w14:schemeClr w14:val="bg1"/>
          </w14:solidFill>
        </w14:textFill>
      </w:rPr>
      <w:tblPr/>
      <w:tcPr>
        <w:tcBorders>
          <w:top w:val="nil"/>
          <w:left w:val="nil"/>
          <w:bottom w:val="single" w:color="auto" w:sz="18" w:space="0"/>
          <w:right w:val="nil"/>
          <w:insideH w:val="nil"/>
          <w:insideV w:val="nil"/>
        </w:tcBorders>
        <w:shd w:val="clear" w:color="auto" w:fill="F79646" w:themeFill="accent6"/>
      </w:tcPr>
    </w:tblStylePr>
    <w:tblStylePr w:type="lastCol">
      <w:rPr>
        <w:b/>
        <w:bCs/>
        <w:color w:val="FFFFFF" w:themeColor="background1"/>
        <w14:textFill>
          <w14:solidFill>
            <w14:schemeClr w14:val="bg1"/>
          </w14:solidFill>
        </w14:textFill>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7D7D7" w:themeFill="background1" w:themeFillShade="D8"/>
      </w:tcPr>
    </w:tblStylePr>
    <w:tblStylePr w:type="band1Horz">
      <w:tblPr/>
      <w:tcPr>
        <w:shd w:val="clear" w:color="auto" w:fill="D7D7D7" w:themeFill="background1" w:themeFillShade="D8"/>
      </w:tcPr>
    </w:tblStylePr>
    <w:tblStylePr w:type="neCell">
      <w:tblPr/>
      <w:tcPr>
        <w:tcBorders>
          <w:top w:val="single" w:color="auto" w:sz="18" w:space="0"/>
          <w:left w:val="nil"/>
          <w:bottom w:val="single" w:color="auto" w:sz="18" w:space="0"/>
          <w:right w:val="nil"/>
          <w:insideH w:val="nil"/>
          <w:insideV w:val="nil"/>
        </w:tcBorders>
      </w:tcPr>
    </w:tblStylePr>
    <w:tblStylePr w:type="nwCell">
      <w:rPr>
        <w:color w:val="FFFFFF" w:themeColor="background1"/>
        <w14:textFill>
          <w14:solidFill>
            <w14:schemeClr w14:val="bg1"/>
          </w14:solidFill>
        </w14:textFill>
      </w:rPr>
      <w:tblPr/>
      <w:tcPr>
        <w:tcBorders>
          <w:top w:val="single" w:color="auto" w:sz="18" w:space="0"/>
          <w:left w:val="nil"/>
          <w:bottom w:val="single" w:color="auto" w:sz="18" w:space="0"/>
          <w:right w:val="nil"/>
          <w:insideH w:val="nil"/>
          <w:insideV w:val="nil"/>
        </w:tcBorders>
      </w:tcPr>
    </w:tblStylePr>
  </w:style>
  <w:style w:type="table" w:styleId="74">
    <w:name w:val="Medium List 1"/>
    <w:basedOn w:val="37"/>
    <w:qFormat/>
    <w:uiPriority w:val="65"/>
    <w:pPr>
      <w:spacing w:after="0" w:line="240" w:lineRule="auto"/>
    </w:pPr>
    <w:rPr>
      <w:color w:val="000000" w:themeColor="text1"/>
      <w14:textFill>
        <w14:solidFill>
          <w14:schemeClr w14:val="tx1"/>
        </w14:solidFill>
      </w14:textFill>
    </w:rPr>
    <w:tblPr>
      <w:tblBorders>
        <w:top w:val="single" w:color="000000" w:themeColor="text1" w:sz="8" w:space="0"/>
        <w:bottom w:val="single" w:color="000000" w:themeColor="tex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000000" w:themeColor="text1" w:sz="8" w:space="0"/>
        </w:tcBorders>
      </w:tcPr>
    </w:tblStylePr>
    <w:tblStylePr w:type="lastRow">
      <w:rPr>
        <w:b/>
        <w:bCs/>
        <w:color w:val="1F497D" w:themeColor="text2"/>
        <w14:textFill>
          <w14:solidFill>
            <w14:schemeClr w14:val="tx2"/>
          </w14:solidFill>
        </w14:textFill>
      </w:rPr>
      <w:tblPr/>
      <w:tcPr>
        <w:tcBorders>
          <w:top w:val="single" w:color="000000" w:themeColor="text1" w:sz="8" w:space="0"/>
          <w:bottom w:val="single" w:color="000000" w:themeColor="text1" w:sz="8" w:space="0"/>
        </w:tcBorders>
      </w:tcPr>
    </w:tblStylePr>
    <w:tblStylePr w:type="firstCol">
      <w:rPr>
        <w:b/>
        <w:bCs/>
      </w:rPr>
    </w:tblStylePr>
    <w:tblStylePr w:type="lastCol">
      <w:rPr>
        <w:b/>
        <w:bCs/>
      </w:rPr>
      <w:tblPr/>
      <w:tcPr>
        <w:tcBorders>
          <w:top w:val="single" w:color="000000" w:themeColor="text1" w:sz="8" w:space="0"/>
          <w:bottom w:val="single" w:color="000000" w:themeColor="text1" w:sz="8" w:space="0"/>
        </w:tcBorders>
      </w:tcPr>
    </w:tblStylePr>
    <w:tblStylePr w:type="band1Vert">
      <w:tblPr/>
      <w:tcPr>
        <w:shd w:val="clear" w:color="auto" w:fill="BFBFBF" w:themeFill="text1" w:themeFillTint="3F"/>
      </w:tcPr>
    </w:tblStylePr>
    <w:tblStylePr w:type="band1Horz">
      <w:tblPr/>
      <w:tcPr>
        <w:shd w:val="clear" w:color="auto" w:fill="BFBFBF" w:themeFill="text1" w:themeFillTint="3F"/>
      </w:tcPr>
    </w:tblStylePr>
  </w:style>
  <w:style w:type="table" w:styleId="75">
    <w:name w:val="Medium List 1 Accent 1"/>
    <w:basedOn w:val="37"/>
    <w:qFormat/>
    <w:uiPriority w:val="65"/>
    <w:pPr>
      <w:spacing w:after="0" w:line="240" w:lineRule="auto"/>
    </w:pPr>
    <w:rPr>
      <w:color w:val="000000" w:themeColor="text1"/>
      <w14:textFill>
        <w14:solidFill>
          <w14:schemeClr w14:val="tx1"/>
        </w14:solidFill>
      </w14:textFill>
    </w:rPr>
    <w:tblPr>
      <w:tblBorders>
        <w:top w:val="single" w:color="4F81BD" w:themeColor="accent1" w:sz="8" w:space="0"/>
        <w:bottom w:val="single" w:color="4F81BD" w:themeColor="accent1"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F81BD" w:themeColor="accent1" w:sz="8" w:space="0"/>
        </w:tcBorders>
      </w:tcPr>
    </w:tblStylePr>
    <w:tblStylePr w:type="lastRow">
      <w:rPr>
        <w:b/>
        <w:bCs/>
        <w:color w:val="1F497D" w:themeColor="text2"/>
        <w14:textFill>
          <w14:solidFill>
            <w14:schemeClr w14:val="tx2"/>
          </w14:solidFill>
        </w14:textFill>
      </w:rPr>
      <w:tblPr/>
      <w:tcPr>
        <w:tcBorders>
          <w:top w:val="single" w:color="4F81BD" w:themeColor="accent1" w:sz="8" w:space="0"/>
          <w:bottom w:val="single" w:color="4F81BD" w:themeColor="accent1" w:sz="8" w:space="0"/>
        </w:tcBorders>
      </w:tcPr>
    </w:tblStylePr>
    <w:tblStylePr w:type="firstCol">
      <w:rPr>
        <w:b/>
        <w:bCs/>
      </w:rPr>
    </w:tblStylePr>
    <w:tblStylePr w:type="lastCol">
      <w:rPr>
        <w:b/>
        <w:bCs/>
      </w:rPr>
      <w:tblPr/>
      <w:tcPr>
        <w:tcBorders>
          <w:top w:val="single" w:color="4F81BD" w:themeColor="accent1" w:sz="8" w:space="0"/>
          <w:bottom w:val="single" w:color="4F81BD" w:themeColor="accent1" w:sz="8" w:space="0"/>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76">
    <w:name w:val="Medium List 1 Accent 2"/>
    <w:basedOn w:val="37"/>
    <w:qFormat/>
    <w:uiPriority w:val="65"/>
    <w:pPr>
      <w:spacing w:after="0" w:line="240" w:lineRule="auto"/>
    </w:pPr>
    <w:rPr>
      <w:color w:val="000000" w:themeColor="text1"/>
      <w14:textFill>
        <w14:solidFill>
          <w14:schemeClr w14:val="tx1"/>
        </w14:solidFill>
      </w14:textFill>
    </w:rPr>
    <w:tblPr>
      <w:tblBorders>
        <w:top w:val="single" w:color="C0504D" w:themeColor="accent2" w:sz="8" w:space="0"/>
        <w:bottom w:val="single" w:color="C0504D" w:themeColor="accent2"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C0504D" w:themeColor="accent2" w:sz="8" w:space="0"/>
        </w:tcBorders>
      </w:tcPr>
    </w:tblStylePr>
    <w:tblStylePr w:type="lastRow">
      <w:rPr>
        <w:b/>
        <w:bCs/>
        <w:color w:val="1F497D" w:themeColor="text2"/>
        <w14:textFill>
          <w14:solidFill>
            <w14:schemeClr w14:val="tx2"/>
          </w14:solidFill>
        </w14:textFill>
      </w:rPr>
      <w:tblPr/>
      <w:tcPr>
        <w:tcBorders>
          <w:top w:val="single" w:color="C0504D" w:themeColor="accent2" w:sz="8" w:space="0"/>
          <w:bottom w:val="single" w:color="C0504D" w:themeColor="accent2" w:sz="8" w:space="0"/>
        </w:tcBorders>
      </w:tcPr>
    </w:tblStylePr>
    <w:tblStylePr w:type="firstCol">
      <w:rPr>
        <w:b/>
        <w:bCs/>
      </w:rPr>
    </w:tblStylePr>
    <w:tblStylePr w:type="lastCol">
      <w:rPr>
        <w:b/>
        <w:bCs/>
      </w:rPr>
      <w:tblPr/>
      <w:tcPr>
        <w:tcBorders>
          <w:top w:val="single" w:color="C0504D" w:themeColor="accent2" w:sz="8" w:space="0"/>
          <w:bottom w:val="single" w:color="C0504D" w:themeColor="accent2" w:sz="8" w:space="0"/>
        </w:tcBorders>
      </w:tcPr>
    </w:tblStylePr>
    <w:tblStylePr w:type="band1Vert">
      <w:tblPr/>
      <w:tcPr>
        <w:shd w:val="clear" w:color="auto" w:fill="EFD3D3" w:themeFill="accent2" w:themeFillTint="3F"/>
      </w:tcPr>
    </w:tblStylePr>
    <w:tblStylePr w:type="band1Horz">
      <w:tblPr/>
      <w:tcPr>
        <w:shd w:val="clear" w:color="auto" w:fill="EFD3D3" w:themeFill="accent2" w:themeFillTint="3F"/>
      </w:tcPr>
    </w:tblStylePr>
  </w:style>
  <w:style w:type="table" w:styleId="77">
    <w:name w:val="Medium List 1 Accent 3"/>
    <w:basedOn w:val="37"/>
    <w:qFormat/>
    <w:uiPriority w:val="65"/>
    <w:pPr>
      <w:spacing w:after="0" w:line="240" w:lineRule="auto"/>
    </w:pPr>
    <w:rPr>
      <w:color w:val="000000" w:themeColor="text1"/>
      <w14:textFill>
        <w14:solidFill>
          <w14:schemeClr w14:val="tx1"/>
        </w14:solidFill>
      </w14:textFill>
    </w:rPr>
    <w:tblPr>
      <w:tblBorders>
        <w:top w:val="single" w:color="9BBB59" w:themeColor="accent3" w:sz="8" w:space="0"/>
        <w:bottom w:val="single" w:color="9BBB59" w:themeColor="accent3"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9BBB59" w:themeColor="accent3" w:sz="8" w:space="0"/>
        </w:tcBorders>
      </w:tcPr>
    </w:tblStylePr>
    <w:tblStylePr w:type="lastRow">
      <w:rPr>
        <w:b/>
        <w:bCs/>
        <w:color w:val="1F497D" w:themeColor="text2"/>
        <w14:textFill>
          <w14:solidFill>
            <w14:schemeClr w14:val="tx2"/>
          </w14:solidFill>
        </w14:textFill>
      </w:rPr>
      <w:tblPr/>
      <w:tcPr>
        <w:tcBorders>
          <w:top w:val="single" w:color="9BBB59" w:themeColor="accent3" w:sz="8" w:space="0"/>
          <w:bottom w:val="single" w:color="9BBB59" w:themeColor="accent3" w:sz="8" w:space="0"/>
        </w:tcBorders>
      </w:tcPr>
    </w:tblStylePr>
    <w:tblStylePr w:type="firstCol">
      <w:rPr>
        <w:b/>
        <w:bCs/>
      </w:rPr>
    </w:tblStylePr>
    <w:tblStylePr w:type="lastCol">
      <w:rPr>
        <w:b/>
        <w:bCs/>
      </w:rPr>
      <w:tblPr/>
      <w:tcPr>
        <w:tcBorders>
          <w:top w:val="single" w:color="9BBB59" w:themeColor="accent3" w:sz="8" w:space="0"/>
          <w:bottom w:val="single" w:color="9BBB59" w:themeColor="accent3" w:sz="8" w:space="0"/>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78">
    <w:name w:val="Medium List 1 Accent 4"/>
    <w:basedOn w:val="37"/>
    <w:qFormat/>
    <w:uiPriority w:val="65"/>
    <w:pPr>
      <w:spacing w:after="0" w:line="240" w:lineRule="auto"/>
    </w:pPr>
    <w:rPr>
      <w:color w:val="000000" w:themeColor="text1"/>
      <w14:textFill>
        <w14:solidFill>
          <w14:schemeClr w14:val="tx1"/>
        </w14:solidFill>
      </w14:textFill>
    </w:rPr>
    <w:tblPr>
      <w:tblBorders>
        <w:top w:val="single" w:color="8064A2" w:themeColor="accent4" w:sz="8" w:space="0"/>
        <w:bottom w:val="single" w:color="8064A2" w:themeColor="accent4"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8064A2" w:themeColor="accent4" w:sz="8" w:space="0"/>
        </w:tcBorders>
      </w:tcPr>
    </w:tblStylePr>
    <w:tblStylePr w:type="lastRow">
      <w:rPr>
        <w:b/>
        <w:bCs/>
        <w:color w:val="1F497D" w:themeColor="text2"/>
        <w14:textFill>
          <w14:solidFill>
            <w14:schemeClr w14:val="tx2"/>
          </w14:solidFill>
        </w14:textFill>
      </w:rPr>
      <w:tblPr/>
      <w:tcPr>
        <w:tcBorders>
          <w:top w:val="single" w:color="8064A2" w:themeColor="accent4" w:sz="8" w:space="0"/>
          <w:bottom w:val="single" w:color="8064A2" w:themeColor="accent4" w:sz="8" w:space="0"/>
        </w:tcBorders>
      </w:tcPr>
    </w:tblStylePr>
    <w:tblStylePr w:type="firstCol">
      <w:rPr>
        <w:b/>
        <w:bCs/>
      </w:rPr>
    </w:tblStylePr>
    <w:tblStylePr w:type="lastCol">
      <w:rPr>
        <w:b/>
        <w:bCs/>
      </w:rPr>
      <w:tblPr/>
      <w:tcPr>
        <w:tcBorders>
          <w:top w:val="single" w:color="8064A2" w:themeColor="accent4" w:sz="8" w:space="0"/>
          <w:bottom w:val="single" w:color="8064A2" w:themeColor="accent4" w:sz="8" w:space="0"/>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79">
    <w:name w:val="Medium List 1 Accent 5"/>
    <w:basedOn w:val="37"/>
    <w:qFormat/>
    <w:uiPriority w:val="65"/>
    <w:pPr>
      <w:spacing w:after="0" w:line="240" w:lineRule="auto"/>
    </w:pPr>
    <w:rPr>
      <w:color w:val="000000" w:themeColor="text1"/>
      <w14:textFill>
        <w14:solidFill>
          <w14:schemeClr w14:val="tx1"/>
        </w14:solidFill>
      </w14:textFill>
    </w:rPr>
    <w:tblPr>
      <w:tblBorders>
        <w:top w:val="single" w:color="4BACC6" w:themeColor="accent5" w:sz="8" w:space="0"/>
        <w:bottom w:val="single" w:color="4BACC6" w:themeColor="accent5"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4BACC6" w:themeColor="accent5" w:sz="8" w:space="0"/>
        </w:tcBorders>
      </w:tcPr>
    </w:tblStylePr>
    <w:tblStylePr w:type="lastRow">
      <w:rPr>
        <w:b/>
        <w:bCs/>
        <w:color w:val="1F497D" w:themeColor="text2"/>
        <w14:textFill>
          <w14:solidFill>
            <w14:schemeClr w14:val="tx2"/>
          </w14:solidFill>
        </w14:textFill>
      </w:rPr>
      <w:tblPr/>
      <w:tcPr>
        <w:tcBorders>
          <w:top w:val="single" w:color="4BACC6" w:themeColor="accent5" w:sz="8" w:space="0"/>
          <w:bottom w:val="single" w:color="4BACC6" w:themeColor="accent5" w:sz="8" w:space="0"/>
        </w:tcBorders>
      </w:tcPr>
    </w:tblStylePr>
    <w:tblStylePr w:type="firstCol">
      <w:rPr>
        <w:b/>
        <w:bCs/>
      </w:rPr>
    </w:tblStylePr>
    <w:tblStylePr w:type="lastCol">
      <w:rPr>
        <w:b/>
        <w:bCs/>
      </w:rPr>
      <w:tblPr/>
      <w:tcPr>
        <w:tcBorders>
          <w:top w:val="single" w:color="4BACC6" w:themeColor="accent5" w:sz="8" w:space="0"/>
          <w:bottom w:val="single" w:color="4BACC6" w:themeColor="accent5" w:sz="8" w:space="0"/>
        </w:tcBorders>
      </w:tcPr>
    </w:tblStylePr>
    <w:tblStylePr w:type="band1Vert">
      <w:tblPr/>
      <w:tcPr>
        <w:shd w:val="clear" w:color="auto" w:fill="D2EAF0" w:themeFill="accent5" w:themeFillTint="3F"/>
      </w:tcPr>
    </w:tblStylePr>
    <w:tblStylePr w:type="band1Horz">
      <w:tblPr/>
      <w:tcPr>
        <w:shd w:val="clear" w:color="auto" w:fill="D2EAF0" w:themeFill="accent5" w:themeFillTint="3F"/>
      </w:tcPr>
    </w:tblStylePr>
  </w:style>
  <w:style w:type="table" w:styleId="80">
    <w:name w:val="Medium List 1 Accent 6"/>
    <w:basedOn w:val="37"/>
    <w:qFormat/>
    <w:uiPriority w:val="65"/>
    <w:pPr>
      <w:spacing w:after="0" w:line="240" w:lineRule="auto"/>
    </w:pPr>
    <w:rPr>
      <w:color w:val="000000" w:themeColor="text1"/>
      <w14:textFill>
        <w14:solidFill>
          <w14:schemeClr w14:val="tx1"/>
        </w14:solidFill>
      </w14:textFill>
    </w:rPr>
    <w:tblPr>
      <w:tblBorders>
        <w:top w:val="single" w:color="F79646" w:themeColor="accent6" w:sz="8" w:space="0"/>
        <w:bottom w:val="single" w:color="F79646" w:themeColor="accent6" w:sz="8" w:space="0"/>
      </w:tblBorders>
      <w:tblCellMar>
        <w:top w:w="0" w:type="dxa"/>
        <w:left w:w="108" w:type="dxa"/>
        <w:bottom w:w="0" w:type="dxa"/>
        <w:right w:w="108" w:type="dxa"/>
      </w:tblCellMar>
    </w:tblPr>
    <w:tblStylePr w:type="firstRow">
      <w:rPr>
        <w:rFonts w:asciiTheme="majorHAnsi" w:hAnsiTheme="majorHAnsi" w:eastAsiaTheme="majorEastAsia" w:cstheme="majorBidi"/>
      </w:rPr>
      <w:tblPr/>
      <w:tcPr>
        <w:tcBorders>
          <w:top w:val="nil"/>
          <w:bottom w:val="single" w:color="F79646" w:themeColor="accent6" w:sz="8" w:space="0"/>
        </w:tcBorders>
      </w:tcPr>
    </w:tblStylePr>
    <w:tblStylePr w:type="lastRow">
      <w:rPr>
        <w:b/>
        <w:bCs/>
        <w:color w:val="1F497D" w:themeColor="text2"/>
        <w14:textFill>
          <w14:solidFill>
            <w14:schemeClr w14:val="tx2"/>
          </w14:solidFill>
        </w14:textFill>
      </w:rPr>
      <w:tblPr/>
      <w:tcPr>
        <w:tcBorders>
          <w:top w:val="single" w:color="F79646" w:themeColor="accent6" w:sz="8" w:space="0"/>
          <w:bottom w:val="single" w:color="F79646" w:themeColor="accent6" w:sz="8" w:space="0"/>
        </w:tcBorders>
      </w:tcPr>
    </w:tblStylePr>
    <w:tblStylePr w:type="firstCol">
      <w:rPr>
        <w:b/>
        <w:bCs/>
      </w:rPr>
    </w:tblStylePr>
    <w:tblStylePr w:type="lastCol">
      <w:rPr>
        <w:b/>
        <w:bCs/>
      </w:rPr>
      <w:tblPr/>
      <w:tcPr>
        <w:tcBorders>
          <w:top w:val="single" w:color="F79646" w:themeColor="accent6" w:sz="8" w:space="0"/>
          <w:bottom w:val="single" w:color="F79646" w:themeColor="accent6" w:sz="8" w:space="0"/>
        </w:tcBorders>
      </w:tcPr>
    </w:tblStylePr>
    <w:tblStylePr w:type="band1Vert">
      <w:tblPr/>
      <w:tcPr>
        <w:shd w:val="clear" w:color="auto" w:fill="FDE5D1" w:themeFill="accent6" w:themeFillTint="3F"/>
      </w:tcPr>
    </w:tblStylePr>
    <w:tblStylePr w:type="band1Horz">
      <w:tblPr/>
      <w:tcPr>
        <w:shd w:val="clear" w:color="auto" w:fill="FDE5D1" w:themeFill="accent6" w:themeFillTint="3F"/>
      </w:tcPr>
    </w:tblStylePr>
  </w:style>
  <w:style w:type="table" w:styleId="81">
    <w:name w:val="Medium Lis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tblBorders>
      <w:tblCellMar>
        <w:top w:w="0" w:type="dxa"/>
        <w:left w:w="108" w:type="dxa"/>
        <w:bottom w:w="0" w:type="dxa"/>
        <w:right w:w="108" w:type="dxa"/>
      </w:tblCellMar>
    </w:tblPr>
    <w:tblStylePr w:type="firstRow">
      <w:rPr>
        <w:sz w:val="24"/>
        <w:szCs w:val="24"/>
      </w:rPr>
      <w:tblPr/>
      <w:tcPr>
        <w:tcBorders>
          <w:top w:val="nil"/>
          <w:left w:val="nil"/>
          <w:bottom w:val="single" w:color="000000" w:themeColor="text1" w:sz="24" w:space="0"/>
          <w:right w:val="nil"/>
          <w:insideH w:val="nil"/>
          <w:insideV w:val="nil"/>
        </w:tcBorders>
        <w:shd w:val="clear" w:color="auto" w:fill="FFFFFF" w:themeFill="background1"/>
      </w:tcPr>
    </w:tblStylePr>
    <w:tblStylePr w:type="lastRow">
      <w:tblPr/>
      <w:tcPr>
        <w:tcBorders>
          <w:top w:val="single" w:color="000000" w:themeColor="tex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000000" w:themeColor="text1" w:sz="8" w:space="0"/>
          <w:insideH w:val="nil"/>
          <w:insideV w:val="nil"/>
        </w:tcBorders>
        <w:shd w:val="clear" w:color="auto" w:fill="FFFFFF" w:themeFill="background1"/>
      </w:tcPr>
    </w:tblStylePr>
    <w:tblStylePr w:type="lastCol">
      <w:tblPr/>
      <w:tcPr>
        <w:tcBorders>
          <w:top w:val="nil"/>
          <w:left w:val="single" w:color="000000" w:themeColor="tex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FBFBF" w:themeFill="text1" w:themeFillTint="3F"/>
      </w:tcPr>
    </w:tblStylePr>
    <w:tblStylePr w:type="band1Horz">
      <w:tblPr/>
      <w:tcPr>
        <w:tcBorders>
          <w:top w:val="nil"/>
          <w:bottom w:val="nil"/>
          <w:insideH w:val="nil"/>
          <w:insideV w:val="nil"/>
        </w:tcBorders>
        <w:shd w:val="clear" w:color="auto" w:fill="BFBFBF"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82">
    <w:name w:val="Medium List 2 Accent 1"/>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tblBorders>
      <w:tblCellMar>
        <w:top w:w="0" w:type="dxa"/>
        <w:left w:w="108" w:type="dxa"/>
        <w:bottom w:w="0" w:type="dxa"/>
        <w:right w:w="108" w:type="dxa"/>
      </w:tblCellMar>
    </w:tblPr>
    <w:tblStylePr w:type="firstRow">
      <w:rPr>
        <w:sz w:val="24"/>
        <w:szCs w:val="24"/>
      </w:rPr>
      <w:tblPr/>
      <w:tcPr>
        <w:tcBorders>
          <w:top w:val="nil"/>
          <w:left w:val="nil"/>
          <w:bottom w:val="single" w:color="4F81BD" w:themeColor="accent1" w:sz="24" w:space="0"/>
          <w:right w:val="nil"/>
          <w:insideH w:val="nil"/>
          <w:insideV w:val="nil"/>
        </w:tcBorders>
        <w:shd w:val="clear" w:color="auto" w:fill="FFFFFF" w:themeFill="background1"/>
      </w:tcPr>
    </w:tblStylePr>
    <w:tblStylePr w:type="lastRow">
      <w:tblPr/>
      <w:tcPr>
        <w:tcBorders>
          <w:top w:val="single" w:color="4F81BD" w:themeColor="accent1"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F81BD" w:themeColor="accent1" w:sz="8" w:space="0"/>
          <w:insideH w:val="nil"/>
          <w:insideV w:val="nil"/>
        </w:tcBorders>
        <w:shd w:val="clear" w:color="auto" w:fill="FFFFFF" w:themeFill="background1"/>
      </w:tcPr>
    </w:tblStylePr>
    <w:tblStylePr w:type="lastCol">
      <w:tblPr/>
      <w:tcPr>
        <w:tcBorders>
          <w:top w:val="nil"/>
          <w:left w:val="single" w:color="4F81BD" w:themeColor="accent1"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83">
    <w:name w:val="Medium List 2 Accent 2"/>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tblBorders>
      <w:tblCellMar>
        <w:top w:w="0" w:type="dxa"/>
        <w:left w:w="108" w:type="dxa"/>
        <w:bottom w:w="0" w:type="dxa"/>
        <w:right w:w="108" w:type="dxa"/>
      </w:tblCellMar>
    </w:tblPr>
    <w:tblStylePr w:type="firstRow">
      <w:rPr>
        <w:sz w:val="24"/>
        <w:szCs w:val="24"/>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tblPr/>
      <w:tcPr>
        <w:tcBorders>
          <w:top w:val="single" w:color="C0504D" w:themeColor="accent2"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C0504D" w:themeColor="accent2" w:sz="8" w:space="0"/>
          <w:insideH w:val="nil"/>
          <w:insideV w:val="nil"/>
        </w:tcBorders>
        <w:shd w:val="clear" w:color="auto" w:fill="FFFFFF" w:themeFill="background1"/>
      </w:tcPr>
    </w:tblStylePr>
    <w:tblStylePr w:type="lastCol">
      <w:tblPr/>
      <w:tcPr>
        <w:tcBorders>
          <w:top w:val="nil"/>
          <w:left w:val="single" w:color="C0504D" w:themeColor="accent2"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3" w:themeFill="accent2" w:themeFillTint="3F"/>
      </w:tcPr>
    </w:tblStylePr>
    <w:tblStylePr w:type="band1Horz">
      <w:tblPr/>
      <w:tcPr>
        <w:tcBorders>
          <w:top w:val="nil"/>
          <w:bottom w:val="nil"/>
          <w:insideH w:val="nil"/>
          <w:insideV w:val="nil"/>
        </w:tcBorders>
        <w:shd w:val="clear" w:color="auto" w:fill="EFD3D3"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84">
    <w:name w:val="Medium List 2 Accent 3"/>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tblBorders>
      <w:tblCellMar>
        <w:top w:w="0" w:type="dxa"/>
        <w:left w:w="108" w:type="dxa"/>
        <w:bottom w:w="0" w:type="dxa"/>
        <w:right w:w="108" w:type="dxa"/>
      </w:tblCellMar>
    </w:tblPr>
    <w:tblStylePr w:type="firstRow">
      <w:rPr>
        <w:sz w:val="24"/>
        <w:szCs w:val="24"/>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tblPr/>
      <w:tcPr>
        <w:tcBorders>
          <w:top w:val="single" w:color="9BBB59" w:themeColor="accent3"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9BBB59" w:themeColor="accent3" w:sz="8" w:space="0"/>
          <w:insideH w:val="nil"/>
          <w:insideV w:val="nil"/>
        </w:tcBorders>
        <w:shd w:val="clear" w:color="auto" w:fill="FFFFFF" w:themeFill="background1"/>
      </w:tcPr>
    </w:tblStylePr>
    <w:tblStylePr w:type="lastCol">
      <w:tblPr/>
      <w:tcPr>
        <w:tcBorders>
          <w:top w:val="nil"/>
          <w:left w:val="single" w:color="9BBB59" w:themeColor="accent3"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85">
    <w:name w:val="Medium List 2 Accent 4"/>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tblBorders>
      <w:tblCellMar>
        <w:top w:w="0" w:type="dxa"/>
        <w:left w:w="108" w:type="dxa"/>
        <w:bottom w:w="0" w:type="dxa"/>
        <w:right w:w="108" w:type="dxa"/>
      </w:tblCellMar>
    </w:tblPr>
    <w:tblStylePr w:type="firstRow">
      <w:rPr>
        <w:sz w:val="24"/>
        <w:szCs w:val="24"/>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tblPr/>
      <w:tcPr>
        <w:tcBorders>
          <w:top w:val="single" w:color="8064A2" w:themeColor="accent4"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8064A2" w:themeColor="accent4" w:sz="8" w:space="0"/>
          <w:insideH w:val="nil"/>
          <w:insideV w:val="nil"/>
        </w:tcBorders>
        <w:shd w:val="clear" w:color="auto" w:fill="FFFFFF" w:themeFill="background1"/>
      </w:tcPr>
    </w:tblStylePr>
    <w:tblStylePr w:type="lastCol">
      <w:tblPr/>
      <w:tcPr>
        <w:tcBorders>
          <w:top w:val="nil"/>
          <w:left w:val="single" w:color="8064A2" w:themeColor="accent4"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86">
    <w:name w:val="Medium List 2 Accent 5"/>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tblBorders>
      <w:tblCellMar>
        <w:top w:w="0" w:type="dxa"/>
        <w:left w:w="108" w:type="dxa"/>
        <w:bottom w:w="0" w:type="dxa"/>
        <w:right w:w="108" w:type="dxa"/>
      </w:tblCellMar>
    </w:tblPr>
    <w:tblStylePr w:type="firstRow">
      <w:rPr>
        <w:sz w:val="24"/>
        <w:szCs w:val="24"/>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tblPr/>
      <w:tcPr>
        <w:tcBorders>
          <w:top w:val="single" w:color="4BACC6" w:themeColor="accent5"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4BACC6" w:themeColor="accent5" w:sz="8" w:space="0"/>
          <w:insideH w:val="nil"/>
          <w:insideV w:val="nil"/>
        </w:tcBorders>
        <w:shd w:val="clear" w:color="auto" w:fill="FFFFFF" w:themeFill="background1"/>
      </w:tcPr>
    </w:tblStylePr>
    <w:tblStylePr w:type="lastCol">
      <w:tblPr/>
      <w:tcPr>
        <w:tcBorders>
          <w:top w:val="nil"/>
          <w:left w:val="single" w:color="4BACC6" w:themeColor="accent5"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0" w:themeFill="accent5" w:themeFillTint="3F"/>
      </w:tcPr>
    </w:tblStylePr>
    <w:tblStylePr w:type="band1Horz">
      <w:tblPr/>
      <w:tcPr>
        <w:tcBorders>
          <w:top w:val="nil"/>
          <w:bottom w:val="nil"/>
          <w:insideH w:val="nil"/>
          <w:insideV w:val="nil"/>
        </w:tcBorders>
        <w:shd w:val="clear" w:color="auto" w:fill="D2EAF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87">
    <w:name w:val="Medium List 2 Accent 6"/>
    <w:basedOn w:val="37"/>
    <w:qFormat/>
    <w:uiPriority w:val="66"/>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tblBorders>
      <w:tblCellMar>
        <w:top w:w="0" w:type="dxa"/>
        <w:left w:w="108" w:type="dxa"/>
        <w:bottom w:w="0" w:type="dxa"/>
        <w:right w:w="108" w:type="dxa"/>
      </w:tblCellMar>
    </w:tblPr>
    <w:tblStylePr w:type="firstRow">
      <w:rPr>
        <w:sz w:val="24"/>
        <w:szCs w:val="24"/>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tblPr/>
      <w:tcPr>
        <w:tcBorders>
          <w:top w:val="single" w:color="F79646" w:themeColor="accent6" w:sz="8" w:space="0"/>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color="F79646" w:themeColor="accent6" w:sz="8" w:space="0"/>
          <w:insideH w:val="nil"/>
          <w:insideV w:val="nil"/>
        </w:tcBorders>
        <w:shd w:val="clear" w:color="auto" w:fill="FFFFFF" w:themeFill="background1"/>
      </w:tcPr>
    </w:tblStylePr>
    <w:tblStylePr w:type="lastCol">
      <w:tblPr/>
      <w:tcPr>
        <w:tcBorders>
          <w:top w:val="nil"/>
          <w:left w:val="single" w:color="F79646" w:themeColor="accent6" w:sz="8" w:space="0"/>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5D1" w:themeFill="accent6" w:themeFillTint="3F"/>
      </w:tcPr>
    </w:tblStylePr>
    <w:tblStylePr w:type="band1Horz">
      <w:tblPr/>
      <w:tcPr>
        <w:tcBorders>
          <w:top w:val="nil"/>
          <w:bottom w:val="nil"/>
          <w:insideH w:val="nil"/>
          <w:insideV w:val="nil"/>
        </w:tcBorders>
        <w:shd w:val="clear" w:color="auto" w:fill="FDE5D1"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88">
    <w:name w:val="Medium Grid 1"/>
    <w:basedOn w:val="37"/>
    <w:qFormat/>
    <w:uiPriority w:val="67"/>
    <w:pPr>
      <w:spacing w:after="0" w:line="240" w:lineRule="auto"/>
    </w:pPr>
    <w:tblPr>
      <w:tblBorders>
        <w:top w:val="single" w:color="3F3F3F" w:themeColor="text1" w:themeTint="BF" w:sz="8" w:space="0"/>
        <w:left w:val="single" w:color="3F3F3F" w:themeColor="text1" w:themeTint="BF" w:sz="8" w:space="0"/>
        <w:bottom w:val="single" w:color="3F3F3F" w:themeColor="text1" w:themeTint="BF" w:sz="8" w:space="0"/>
        <w:right w:val="single" w:color="3F3F3F" w:themeColor="text1" w:themeTint="BF" w:sz="8" w:space="0"/>
        <w:insideH w:val="single" w:color="3F3F3F" w:themeColor="text1" w:themeTint="BF" w:sz="8" w:space="0"/>
        <w:insideV w:val="single" w:color="3F3F3F" w:themeColor="text1" w:themeTint="BF" w:sz="8" w:space="0"/>
      </w:tblBorders>
      <w:tblCellMar>
        <w:top w:w="0" w:type="dxa"/>
        <w:left w:w="108" w:type="dxa"/>
        <w:bottom w:w="0" w:type="dxa"/>
        <w:right w:w="108" w:type="dxa"/>
      </w:tblCellMar>
    </w:tblPr>
    <w:tcPr>
      <w:shd w:val="clear" w:color="auto" w:fill="BFBFBF" w:themeFill="text1" w:themeFillTint="3F"/>
    </w:tcPr>
    <w:tblStylePr w:type="firstRow">
      <w:rPr>
        <w:b/>
        <w:bCs/>
      </w:rPr>
    </w:tblStylePr>
    <w:tblStylePr w:type="lastRow">
      <w:rPr>
        <w:b/>
        <w:bCs/>
      </w:rPr>
      <w:tblPr/>
      <w:tcPr>
        <w:tcBorders>
          <w:top w:val="single" w:color="3F3F3F" w:themeColor="text1" w:themeTint="BF" w:sz="18" w:space="0"/>
        </w:tcBorders>
      </w:tcPr>
    </w:tblStylePr>
    <w:tblStylePr w:type="firstCol">
      <w:rPr>
        <w:b/>
        <w:bCs/>
      </w:rPr>
    </w:tblStylePr>
    <w:tblStylePr w:type="lastCol">
      <w:rPr>
        <w:b/>
        <w:bCs/>
      </w:r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89">
    <w:name w:val="Medium Grid 1 Accent 1"/>
    <w:basedOn w:val="37"/>
    <w:qFormat/>
    <w:uiPriority w:val="67"/>
    <w:pPr>
      <w:spacing w:after="0" w:line="240" w:lineRule="auto"/>
    </w:pPr>
    <w:tblPr>
      <w:tblBorders>
        <w:top w:val="single" w:color="7BA0CD" w:themeColor="accent1" w:themeTint="BF" w:sz="8" w:space="0"/>
        <w:left w:val="single" w:color="7BA0CD" w:themeColor="accent1" w:themeTint="BF" w:sz="8" w:space="0"/>
        <w:bottom w:val="single" w:color="7BA0CD" w:themeColor="accent1" w:themeTint="BF" w:sz="8" w:space="0"/>
        <w:right w:val="single" w:color="7BA0CD" w:themeColor="accent1" w:themeTint="BF" w:sz="8" w:space="0"/>
        <w:insideH w:val="single" w:color="7BA0CD" w:themeColor="accent1" w:themeTint="BF" w:sz="8" w:space="0"/>
        <w:insideV w:val="single" w:color="7BA0CD" w:themeColor="accent1" w:themeTint="BF" w:sz="8" w:space="0"/>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color="7BA0CD" w:themeColor="accent1" w:themeTint="BF" w:sz="18" w:space="0"/>
        </w:tcBorders>
      </w:tcPr>
    </w:tblStylePr>
    <w:tblStylePr w:type="firstCol">
      <w:rPr>
        <w:b/>
        <w:bCs/>
      </w:rPr>
    </w:tblStylePr>
    <w:tblStylePr w:type="lastCol">
      <w:rPr>
        <w:b/>
        <w:bCs/>
      </w:r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90">
    <w:name w:val="Medium Grid 1 Accent 2"/>
    <w:basedOn w:val="37"/>
    <w:qFormat/>
    <w:uiPriority w:val="67"/>
    <w:pPr>
      <w:spacing w:after="0" w:line="240" w:lineRule="auto"/>
    </w:pPr>
    <w:tblPr>
      <w:tblBorders>
        <w:top w:val="single" w:color="CF7B79" w:themeColor="accent2" w:themeTint="BF" w:sz="8" w:space="0"/>
        <w:left w:val="single" w:color="CF7B79" w:themeColor="accent2" w:themeTint="BF" w:sz="8" w:space="0"/>
        <w:bottom w:val="single" w:color="CF7B79" w:themeColor="accent2" w:themeTint="BF" w:sz="8" w:space="0"/>
        <w:right w:val="single" w:color="CF7B79" w:themeColor="accent2" w:themeTint="BF" w:sz="8" w:space="0"/>
        <w:insideH w:val="single" w:color="CF7B79" w:themeColor="accent2" w:themeTint="BF" w:sz="8" w:space="0"/>
        <w:insideV w:val="single" w:color="CF7B79" w:themeColor="accent2" w:themeTint="BF" w:sz="8" w:space="0"/>
      </w:tblBorders>
      <w:tblCellMar>
        <w:top w:w="0" w:type="dxa"/>
        <w:left w:w="108" w:type="dxa"/>
        <w:bottom w:w="0" w:type="dxa"/>
        <w:right w:w="108" w:type="dxa"/>
      </w:tblCellMar>
    </w:tblPr>
    <w:tcPr>
      <w:shd w:val="clear" w:color="auto" w:fill="EFD3D3" w:themeFill="accent2" w:themeFillTint="3F"/>
    </w:tcPr>
    <w:tblStylePr w:type="firstRow">
      <w:rPr>
        <w:b/>
        <w:bCs/>
      </w:rPr>
    </w:tblStylePr>
    <w:tblStylePr w:type="lastRow">
      <w:rPr>
        <w:b/>
        <w:bCs/>
      </w:rPr>
      <w:tblPr/>
      <w:tcPr>
        <w:tcBorders>
          <w:top w:val="single" w:color="CF7B79" w:themeColor="accent2" w:themeTint="BF" w:sz="18" w:space="0"/>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91">
    <w:name w:val="Medium Grid 1 Accent 3"/>
    <w:basedOn w:val="37"/>
    <w:qFormat/>
    <w:uiPriority w:val="67"/>
    <w:pPr>
      <w:spacing w:after="0" w:line="240" w:lineRule="auto"/>
    </w:pPr>
    <w:tblPr>
      <w:tblBorders>
        <w:top w:val="single" w:color="B4CC82" w:themeColor="accent3" w:themeTint="BF" w:sz="8" w:space="0"/>
        <w:left w:val="single" w:color="B4CC82" w:themeColor="accent3" w:themeTint="BF" w:sz="8" w:space="0"/>
        <w:bottom w:val="single" w:color="B4CC82" w:themeColor="accent3" w:themeTint="BF" w:sz="8" w:space="0"/>
        <w:right w:val="single" w:color="B4CC82" w:themeColor="accent3" w:themeTint="BF" w:sz="8" w:space="0"/>
        <w:insideH w:val="single" w:color="B4CC82" w:themeColor="accent3" w:themeTint="BF" w:sz="8" w:space="0"/>
        <w:insideV w:val="single" w:color="B4CC82" w:themeColor="accent3" w:themeTint="BF" w:sz="8" w:space="0"/>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color="B4CC82" w:themeColor="accent3" w:themeTint="BF" w:sz="18" w:space="0"/>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92">
    <w:name w:val="Medium Grid 1 Accent 4"/>
    <w:basedOn w:val="37"/>
    <w:qFormat/>
    <w:uiPriority w:val="67"/>
    <w:pPr>
      <w:spacing w:after="0" w:line="240" w:lineRule="auto"/>
    </w:pPr>
    <w:tblPr>
      <w:tblBorders>
        <w:top w:val="single" w:color="9F8AB9" w:themeColor="accent4" w:themeTint="BF" w:sz="8" w:space="0"/>
        <w:left w:val="single" w:color="9F8AB9" w:themeColor="accent4" w:themeTint="BF" w:sz="8" w:space="0"/>
        <w:bottom w:val="single" w:color="9F8AB9" w:themeColor="accent4" w:themeTint="BF" w:sz="8" w:space="0"/>
        <w:right w:val="single" w:color="9F8AB9" w:themeColor="accent4" w:themeTint="BF" w:sz="8" w:space="0"/>
        <w:insideH w:val="single" w:color="9F8AB9" w:themeColor="accent4" w:themeTint="BF" w:sz="8" w:space="0"/>
        <w:insideV w:val="single" w:color="9F8AB9" w:themeColor="accent4" w:themeTint="BF" w:sz="8" w:space="0"/>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color="9F8AB9" w:themeColor="accent4" w:themeTint="BF" w:sz="18" w:space="0"/>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93">
    <w:name w:val="Medium Grid 1 Accent 5"/>
    <w:basedOn w:val="37"/>
    <w:qFormat/>
    <w:uiPriority w:val="67"/>
    <w:pPr>
      <w:spacing w:after="0" w:line="240" w:lineRule="auto"/>
    </w:pPr>
    <w:tblPr>
      <w:tblBorders>
        <w:top w:val="single" w:color="78C0D4" w:themeColor="accent5" w:themeTint="BF" w:sz="8" w:space="0"/>
        <w:left w:val="single" w:color="78C0D4" w:themeColor="accent5" w:themeTint="BF" w:sz="8" w:space="0"/>
        <w:bottom w:val="single" w:color="78C0D4" w:themeColor="accent5" w:themeTint="BF" w:sz="8" w:space="0"/>
        <w:right w:val="single" w:color="78C0D4" w:themeColor="accent5" w:themeTint="BF" w:sz="8" w:space="0"/>
        <w:insideH w:val="single" w:color="78C0D4" w:themeColor="accent5" w:themeTint="BF" w:sz="8" w:space="0"/>
        <w:insideV w:val="single" w:color="78C0D4" w:themeColor="accent5" w:themeTint="BF" w:sz="8" w:space="0"/>
      </w:tblBorders>
      <w:tblCellMar>
        <w:top w:w="0" w:type="dxa"/>
        <w:left w:w="108" w:type="dxa"/>
        <w:bottom w:w="0" w:type="dxa"/>
        <w:right w:w="108" w:type="dxa"/>
      </w:tblCellMar>
    </w:tblPr>
    <w:tcPr>
      <w:shd w:val="clear" w:color="auto" w:fill="D2EAF0" w:themeFill="accent5" w:themeFillTint="3F"/>
    </w:tcPr>
    <w:tblStylePr w:type="firstRow">
      <w:rPr>
        <w:b/>
        <w:bCs/>
      </w:rPr>
    </w:tblStylePr>
    <w:tblStylePr w:type="lastRow">
      <w:rPr>
        <w:b/>
        <w:bCs/>
      </w:rPr>
      <w:tblPr/>
      <w:tcPr>
        <w:tcBorders>
          <w:top w:val="single" w:color="78C0D4" w:themeColor="accent5" w:themeTint="BF" w:sz="18" w:space="0"/>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94">
    <w:name w:val="Medium Grid 1 Accent 6"/>
    <w:basedOn w:val="37"/>
    <w:qFormat/>
    <w:uiPriority w:val="67"/>
    <w:pPr>
      <w:spacing w:after="0" w:line="240" w:lineRule="auto"/>
    </w:pPr>
    <w:tblPr>
      <w:tblBorders>
        <w:top w:val="single" w:color="F9B074" w:themeColor="accent6" w:themeTint="BF" w:sz="8" w:space="0"/>
        <w:left w:val="single" w:color="F9B074" w:themeColor="accent6" w:themeTint="BF" w:sz="8" w:space="0"/>
        <w:bottom w:val="single" w:color="F9B074" w:themeColor="accent6" w:themeTint="BF" w:sz="8" w:space="0"/>
        <w:right w:val="single" w:color="F9B074" w:themeColor="accent6" w:themeTint="BF" w:sz="8" w:space="0"/>
        <w:insideH w:val="single" w:color="F9B074" w:themeColor="accent6" w:themeTint="BF" w:sz="8" w:space="0"/>
        <w:insideV w:val="single" w:color="F9B074" w:themeColor="accent6" w:themeTint="BF" w:sz="8" w:space="0"/>
      </w:tblBorders>
      <w:tblCellMar>
        <w:top w:w="0" w:type="dxa"/>
        <w:left w:w="108" w:type="dxa"/>
        <w:bottom w:w="0" w:type="dxa"/>
        <w:right w:w="108" w:type="dxa"/>
      </w:tblCellMar>
    </w:tblPr>
    <w:tcPr>
      <w:shd w:val="clear" w:color="auto" w:fill="FDE5D1" w:themeFill="accent6" w:themeFillTint="3F"/>
    </w:tcPr>
    <w:tblStylePr w:type="firstRow">
      <w:rPr>
        <w:b/>
        <w:bCs/>
      </w:rPr>
    </w:tblStylePr>
    <w:tblStylePr w:type="lastRow">
      <w:rPr>
        <w:b/>
        <w:bCs/>
      </w:rPr>
      <w:tblPr/>
      <w:tcPr>
        <w:tcBorders>
          <w:top w:val="single" w:color="F9B074" w:themeColor="accent6" w:themeTint="BF" w:sz="18" w:space="0"/>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95">
    <w:name w:val="Medium Grid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000000" w:themeColor="text1" w:sz="8" w:space="0"/>
        <w:left w:val="single" w:color="000000" w:themeColor="text1" w:sz="8" w:space="0"/>
        <w:bottom w:val="single" w:color="000000" w:themeColor="text1" w:sz="8" w:space="0"/>
        <w:right w:val="single" w:color="000000" w:themeColor="text1" w:sz="8" w:space="0"/>
        <w:insideH w:val="single" w:color="000000" w:themeColor="text1" w:sz="8" w:space="0"/>
        <w:insideV w:val="single" w:color="000000" w:themeColor="text1" w:sz="8" w:space="0"/>
      </w:tblBorders>
      <w:tblCellMar>
        <w:top w:w="0" w:type="dxa"/>
        <w:left w:w="108" w:type="dxa"/>
        <w:bottom w:w="0" w:type="dxa"/>
        <w:right w:w="108" w:type="dxa"/>
      </w:tblCellMar>
    </w:tblPr>
    <w:tcPr>
      <w:shd w:val="clear" w:color="auto" w:fill="BFBFBF" w:themeFill="text1" w:themeFillTint="3F"/>
    </w:tcPr>
    <w:tblStylePr w:type="firstRow">
      <w:rPr>
        <w:b/>
        <w:bCs/>
        <w:color w:val="000000" w:themeColor="text1"/>
        <w14:textFill>
          <w14:solidFill>
            <w14:schemeClr w14:val="tx1"/>
          </w14:solidFill>
        </w14:textFill>
      </w:rPr>
      <w:tblPr/>
      <w:tcPr>
        <w:shd w:val="clear" w:color="auto" w:fill="E5E5E5" w:themeFill="tex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7F7F7F" w:themeFill="text1" w:themeFillTint="7F"/>
      </w:tcPr>
    </w:tblStylePr>
    <w:tblStylePr w:type="band1Horz">
      <w:tblPr/>
      <w:tcPr>
        <w:tcBorders>
          <w:insideH w:val="single" w:sz="6" w:space="0"/>
          <w:insideV w:val="single" w:sz="6" w:space="0"/>
        </w:tcBorders>
        <w:shd w:val="clear" w:color="auto" w:fill="7F7F7F" w:themeFill="text1" w:themeFillTint="7F"/>
      </w:tcPr>
    </w:tblStylePr>
    <w:tblStylePr w:type="nwCell">
      <w:tblPr/>
      <w:tcPr>
        <w:shd w:val="clear" w:color="auto" w:fill="FFFFFF" w:themeFill="background1"/>
      </w:tcPr>
    </w:tblStylePr>
  </w:style>
  <w:style w:type="table" w:styleId="96">
    <w:name w:val="Medium Grid 2 Accent 1"/>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F81BD" w:themeColor="accent1" w:sz="8" w:space="0"/>
        <w:left w:val="single" w:color="4F81BD" w:themeColor="accent1" w:sz="8" w:space="0"/>
        <w:bottom w:val="single" w:color="4F81BD" w:themeColor="accent1" w:sz="8" w:space="0"/>
        <w:right w:val="single" w:color="4F81BD" w:themeColor="accent1" w:sz="8" w:space="0"/>
        <w:insideH w:val="single" w:color="4F81BD" w:themeColor="accent1" w:sz="8" w:space="0"/>
        <w:insideV w:val="single" w:color="4F81BD" w:themeColor="accent1" w:sz="8" w:space="0"/>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14:textFill>
          <w14:solidFill>
            <w14:schemeClr w14:val="tx1"/>
          </w14:solidFill>
        </w14:textFill>
      </w:rPr>
      <w:tblPr/>
      <w:tcPr>
        <w:shd w:val="clear" w:color="auto" w:fill="EDF2F8" w:themeFill="accent1"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C0DE" w:themeFill="accent1" w:themeFillTint="7F"/>
      </w:tcPr>
    </w:tblStylePr>
    <w:tblStylePr w:type="band1Horz">
      <w:tblPr/>
      <w:tcPr>
        <w:tcBorders>
          <w:insideH w:val="single" w:sz="6" w:space="0"/>
          <w:insideV w:val="single" w:sz="6" w:space="0"/>
        </w:tcBorders>
        <w:shd w:val="clear" w:color="auto" w:fill="A7C0DE" w:themeFill="accent1" w:themeFillTint="7F"/>
      </w:tcPr>
    </w:tblStylePr>
    <w:tblStylePr w:type="nwCell">
      <w:tblPr/>
      <w:tcPr>
        <w:shd w:val="clear" w:color="auto" w:fill="FFFFFF" w:themeFill="background1"/>
      </w:tcPr>
    </w:tblStylePr>
  </w:style>
  <w:style w:type="table" w:styleId="97">
    <w:name w:val="Medium Grid 2 Accent 2"/>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C0504D" w:themeColor="accent2" w:sz="8" w:space="0"/>
        <w:left w:val="single" w:color="C0504D" w:themeColor="accent2" w:sz="8" w:space="0"/>
        <w:bottom w:val="single" w:color="C0504D" w:themeColor="accent2" w:sz="8" w:space="0"/>
        <w:right w:val="single" w:color="C0504D" w:themeColor="accent2" w:sz="8" w:space="0"/>
        <w:insideH w:val="single" w:color="C0504D" w:themeColor="accent2" w:sz="8" w:space="0"/>
        <w:insideV w:val="single" w:color="C0504D" w:themeColor="accent2" w:sz="8" w:space="0"/>
      </w:tblBorders>
      <w:tblCellMar>
        <w:top w:w="0" w:type="dxa"/>
        <w:left w:w="108" w:type="dxa"/>
        <w:bottom w:w="0" w:type="dxa"/>
        <w:right w:w="108" w:type="dxa"/>
      </w:tblCellMar>
    </w:tblPr>
    <w:tcPr>
      <w:shd w:val="clear" w:color="auto" w:fill="EFD3D3" w:themeFill="accent2" w:themeFillTint="3F"/>
    </w:tcPr>
    <w:tblStylePr w:type="firstRow">
      <w:rPr>
        <w:b/>
        <w:bCs/>
        <w:color w:val="000000" w:themeColor="text1"/>
        <w14:textFill>
          <w14:solidFill>
            <w14:schemeClr w14:val="tx1"/>
          </w14:solidFill>
        </w14:textFill>
      </w:rPr>
      <w:tblPr/>
      <w:tcPr>
        <w:shd w:val="clear" w:color="auto" w:fill="F8EDED" w:themeFill="accent2"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insideV w:val="single" w:sz="6" w:space="0"/>
        </w:tcBorders>
        <w:shd w:val="clear" w:color="auto" w:fill="DFA7A6" w:themeFill="accent2" w:themeFillTint="7F"/>
      </w:tcPr>
    </w:tblStylePr>
    <w:tblStylePr w:type="nwCell">
      <w:tblPr/>
      <w:tcPr>
        <w:shd w:val="clear" w:color="auto" w:fill="FFFFFF" w:themeFill="background1"/>
      </w:tcPr>
    </w:tblStylePr>
  </w:style>
  <w:style w:type="table" w:styleId="98">
    <w:name w:val="Medium Grid 2 Accent 3"/>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9BBB59" w:themeColor="accent3" w:sz="8" w:space="0"/>
        <w:left w:val="single" w:color="9BBB59" w:themeColor="accent3" w:sz="8" w:space="0"/>
        <w:bottom w:val="single" w:color="9BBB59" w:themeColor="accent3" w:sz="8" w:space="0"/>
        <w:right w:val="single" w:color="9BBB59" w:themeColor="accent3" w:sz="8" w:space="0"/>
        <w:insideH w:val="single" w:color="9BBB59" w:themeColor="accent3" w:sz="8" w:space="0"/>
        <w:insideV w:val="single" w:color="9BBB59" w:themeColor="accent3" w:sz="8" w:space="0"/>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14:textFill>
          <w14:solidFill>
            <w14:schemeClr w14:val="tx1"/>
          </w14:solidFill>
        </w14:textFill>
      </w:rPr>
      <w:tblPr/>
      <w:tcPr>
        <w:shd w:val="clear" w:color="auto" w:fill="F5F8EE" w:themeFill="accent3"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insideV w:val="single" w:sz="6" w:space="0"/>
        </w:tcBorders>
        <w:shd w:val="clear" w:color="auto" w:fill="CDDDAC" w:themeFill="accent3" w:themeFillTint="7F"/>
      </w:tcPr>
    </w:tblStylePr>
    <w:tblStylePr w:type="nwCell">
      <w:tblPr/>
      <w:tcPr>
        <w:shd w:val="clear" w:color="auto" w:fill="FFFFFF" w:themeFill="background1"/>
      </w:tcPr>
    </w:tblStylePr>
  </w:style>
  <w:style w:type="table" w:styleId="99">
    <w:name w:val="Medium Grid 2 Accent 4"/>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8064A2" w:themeColor="accent4" w:sz="8" w:space="0"/>
        <w:left w:val="single" w:color="8064A2" w:themeColor="accent4" w:sz="8" w:space="0"/>
        <w:bottom w:val="single" w:color="8064A2" w:themeColor="accent4" w:sz="8" w:space="0"/>
        <w:right w:val="single" w:color="8064A2" w:themeColor="accent4" w:sz="8" w:space="0"/>
        <w:insideH w:val="single" w:color="8064A2" w:themeColor="accent4" w:sz="8" w:space="0"/>
        <w:insideV w:val="single" w:color="8064A2" w:themeColor="accent4" w:sz="8" w:space="0"/>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14:textFill>
          <w14:solidFill>
            <w14:schemeClr w14:val="tx1"/>
          </w14:solidFill>
        </w14:textFill>
      </w:rPr>
      <w:tblPr/>
      <w:tcPr>
        <w:shd w:val="clear" w:color="auto" w:fill="F2EFF5" w:themeFill="accent4"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insideV w:val="single" w:sz="6" w:space="0"/>
        </w:tcBorders>
        <w:shd w:val="clear" w:color="auto" w:fill="BFB1D0" w:themeFill="accent4" w:themeFillTint="7F"/>
      </w:tcPr>
    </w:tblStylePr>
    <w:tblStylePr w:type="nwCell">
      <w:tblPr/>
      <w:tcPr>
        <w:shd w:val="clear" w:color="auto" w:fill="FFFFFF" w:themeFill="background1"/>
      </w:tcPr>
    </w:tblStylePr>
  </w:style>
  <w:style w:type="table" w:styleId="100">
    <w:name w:val="Medium Grid 2 Accent 5"/>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4BACC6" w:themeColor="accent5" w:sz="8" w:space="0"/>
        <w:left w:val="single" w:color="4BACC6" w:themeColor="accent5" w:sz="8" w:space="0"/>
        <w:bottom w:val="single" w:color="4BACC6" w:themeColor="accent5" w:sz="8" w:space="0"/>
        <w:right w:val="single" w:color="4BACC6" w:themeColor="accent5" w:sz="8" w:space="0"/>
        <w:insideH w:val="single" w:color="4BACC6" w:themeColor="accent5" w:sz="8" w:space="0"/>
        <w:insideV w:val="single" w:color="4BACC6" w:themeColor="accent5" w:sz="8" w:space="0"/>
      </w:tblBorders>
      <w:tblCellMar>
        <w:top w:w="0" w:type="dxa"/>
        <w:left w:w="108" w:type="dxa"/>
        <w:bottom w:w="0" w:type="dxa"/>
        <w:right w:w="108" w:type="dxa"/>
      </w:tblCellMar>
    </w:tblPr>
    <w:tcPr>
      <w:shd w:val="clear" w:color="auto" w:fill="D2EAF0" w:themeFill="accent5" w:themeFillTint="3F"/>
    </w:tcPr>
    <w:tblStylePr w:type="firstRow">
      <w:rPr>
        <w:b/>
        <w:bCs/>
        <w:color w:val="000000" w:themeColor="text1"/>
        <w14:textFill>
          <w14:solidFill>
            <w14:schemeClr w14:val="tx1"/>
          </w14:solidFill>
        </w14:textFill>
      </w:rPr>
      <w:tblPr/>
      <w:tcPr>
        <w:shd w:val="clear" w:color="auto" w:fill="EDF6F9" w:themeFill="accent5"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insideV w:val="single" w:sz="6" w:space="0"/>
        </w:tcBorders>
        <w:shd w:val="clear" w:color="auto" w:fill="A5D5E2" w:themeFill="accent5" w:themeFillTint="7F"/>
      </w:tcPr>
    </w:tblStylePr>
    <w:tblStylePr w:type="nwCell">
      <w:tblPr/>
      <w:tcPr>
        <w:shd w:val="clear" w:color="auto" w:fill="FFFFFF" w:themeFill="background1"/>
      </w:tcPr>
    </w:tblStylePr>
  </w:style>
  <w:style w:type="table" w:styleId="101">
    <w:name w:val="Medium Grid 2 Accent 6"/>
    <w:basedOn w:val="37"/>
    <w:qFormat/>
    <w:uiPriority w:val="68"/>
    <w:pPr>
      <w:spacing w:after="0" w:line="240" w:lineRule="auto"/>
    </w:pPr>
    <w:rPr>
      <w:rFonts w:asciiTheme="majorHAnsi" w:hAnsiTheme="majorHAnsi" w:eastAsiaTheme="majorEastAsia" w:cstheme="majorBidi"/>
      <w:color w:val="000000" w:themeColor="text1"/>
      <w14:textFill>
        <w14:solidFill>
          <w14:schemeClr w14:val="tx1"/>
        </w14:solidFill>
      </w14:textFill>
    </w:rPr>
    <w:tblPr>
      <w:tblBorders>
        <w:top w:val="single" w:color="F79646" w:themeColor="accent6" w:sz="8" w:space="0"/>
        <w:left w:val="single" w:color="F79646" w:themeColor="accent6" w:sz="8" w:space="0"/>
        <w:bottom w:val="single" w:color="F79646" w:themeColor="accent6" w:sz="8" w:space="0"/>
        <w:right w:val="single" w:color="F79646" w:themeColor="accent6" w:sz="8" w:space="0"/>
        <w:insideH w:val="single" w:color="F79646" w:themeColor="accent6" w:sz="8" w:space="0"/>
        <w:insideV w:val="single" w:color="F79646" w:themeColor="accent6" w:sz="8" w:space="0"/>
      </w:tblBorders>
      <w:tblCellMar>
        <w:top w:w="0" w:type="dxa"/>
        <w:left w:w="108" w:type="dxa"/>
        <w:bottom w:w="0" w:type="dxa"/>
        <w:right w:w="108" w:type="dxa"/>
      </w:tblCellMar>
    </w:tblPr>
    <w:tcPr>
      <w:shd w:val="clear" w:color="auto" w:fill="FDE5D1" w:themeFill="accent6" w:themeFillTint="3F"/>
    </w:tcPr>
    <w:tblStylePr w:type="firstRow">
      <w:rPr>
        <w:b/>
        <w:bCs/>
        <w:color w:val="000000" w:themeColor="text1"/>
        <w14:textFill>
          <w14:solidFill>
            <w14:schemeClr w14:val="tx1"/>
          </w14:solidFill>
        </w14:textFill>
      </w:rPr>
      <w:tblPr/>
      <w:tcPr>
        <w:shd w:val="clear" w:color="auto" w:fill="FEF4EC" w:themeFill="accent6" w:themeFillTint="19"/>
      </w:tcPr>
    </w:tblStylePr>
    <w:tblStylePr w:type="lastRow">
      <w:rPr>
        <w:b/>
        <w:bCs/>
        <w:color w:val="000000" w:themeColor="text1"/>
        <w14:textFill>
          <w14:solidFill>
            <w14:schemeClr w14:val="tx1"/>
          </w14:solidFill>
        </w14:textFill>
      </w:rPr>
      <w:tblPr/>
      <w:tcPr>
        <w:tcBorders>
          <w:top w:val="single" w:color="000000" w:themeColor="text1" w:sz="12" w:space="0"/>
          <w:left w:val="nil"/>
          <w:bottom w:val="nil"/>
          <w:right w:val="nil"/>
          <w:insideH w:val="nil"/>
          <w:insideV w:val="nil"/>
        </w:tcBorders>
        <w:shd w:val="clear" w:color="auto" w:fill="FFFFFF" w:themeFill="background1"/>
      </w:tcPr>
    </w:tblStylePr>
    <w:tblStylePr w:type="firstCol">
      <w:rPr>
        <w:b/>
        <w:bCs/>
        <w:color w:val="000000" w:themeColor="text1"/>
        <w14:textFill>
          <w14:solidFill>
            <w14:schemeClr w14:val="tx1"/>
          </w14:solidFill>
        </w14:textFill>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14:textFill>
          <w14:solidFill>
            <w14:schemeClr w14:val="tx1"/>
          </w14:solidFill>
        </w14:textFill>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insideV w:val="single" w:sz="6" w:space="0"/>
        </w:tcBorders>
        <w:shd w:val="clear" w:color="auto" w:fill="FBCAA2" w:themeFill="accent6" w:themeFillTint="7F"/>
      </w:tcPr>
    </w:tblStylePr>
    <w:tblStylePr w:type="nwCell">
      <w:tblPr/>
      <w:tcPr>
        <w:shd w:val="clear" w:color="auto" w:fill="FFFFFF" w:themeFill="background1"/>
      </w:tcPr>
    </w:tblStylePr>
  </w:style>
  <w:style w:type="table" w:styleId="102">
    <w:name w:val="Medium Grid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BFBFBF" w:themeFill="tex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000000" w:themeFill="tex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000000" w:themeFill="tex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000000" w:themeFill="tex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000000" w:themeFill="tex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7F7F7F" w:themeFill="tex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7F7F7F" w:themeFill="text1" w:themeFillTint="7F"/>
      </w:tcPr>
    </w:tblStylePr>
  </w:style>
  <w:style w:type="table" w:styleId="103">
    <w:name w:val="Medium Grid 3 Accent 1"/>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F81BD" w:themeFill="accent1"/>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F81BD" w:themeFill="accent1"/>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F81BD" w:themeFill="accent1"/>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F81BD" w:themeFill="accent1"/>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7C0DE" w:themeFill="accent1"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7C0DE" w:themeFill="accent1" w:themeFillTint="7F"/>
      </w:tcPr>
    </w:tblStylePr>
  </w:style>
  <w:style w:type="table" w:styleId="104">
    <w:name w:val="Medium Grid 3 Accent 2"/>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FD3D3" w:themeFill="accent2"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C0504D" w:themeFill="accent2"/>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C0504D" w:themeFill="accent2"/>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C0504D" w:themeFill="accent2"/>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C0504D" w:themeFill="accent2"/>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DFA7A6" w:themeFill="accent2"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DFA7A6" w:themeFill="accent2" w:themeFillTint="7F"/>
      </w:tcPr>
    </w:tblStylePr>
  </w:style>
  <w:style w:type="table" w:styleId="105">
    <w:name w:val="Medium Grid 3 Accent 3"/>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9BBB59" w:themeFill="accent3"/>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9BBB59" w:themeFill="accent3"/>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9BBB59" w:themeFill="accent3"/>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9BBB59" w:themeFill="accent3"/>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CDDDAC" w:themeFill="accent3"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CDDDAC" w:themeFill="accent3" w:themeFillTint="7F"/>
      </w:tcPr>
    </w:tblStylePr>
  </w:style>
  <w:style w:type="table" w:styleId="106">
    <w:name w:val="Medium Grid 3 Accent 4"/>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8064A2" w:themeFill="accent4"/>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8064A2" w:themeFill="accent4"/>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8064A2" w:themeFill="accent4"/>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8064A2" w:themeFill="accent4"/>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BFB1D0" w:themeFill="accent4"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BFB1D0" w:themeFill="accent4" w:themeFillTint="7F"/>
      </w:tcPr>
    </w:tblStylePr>
  </w:style>
  <w:style w:type="table" w:styleId="107">
    <w:name w:val="Medium Grid 3 Accent 5"/>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D2EAF0" w:themeFill="accent5"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4BACC6" w:themeFill="accent5"/>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4BACC6" w:themeFill="accent5"/>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4BACC6" w:themeFill="accent5"/>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4BACC6" w:themeFill="accent5"/>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A5D5E2" w:themeFill="accent5"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A5D5E2" w:themeFill="accent5" w:themeFillTint="7F"/>
      </w:tcPr>
    </w:tblStylePr>
  </w:style>
  <w:style w:type="table" w:styleId="108">
    <w:name w:val="Medium Grid 3 Accent 6"/>
    <w:basedOn w:val="37"/>
    <w:qFormat/>
    <w:uiPriority w:val="69"/>
    <w:pPr>
      <w:spacing w:after="0" w:line="240" w:lineRule="auto"/>
    </w:pPr>
    <w:tblPr>
      <w:tbl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color="FFFFFF" w:themeColor="background1" w:sz="6" w:space="0"/>
        <w:insideV w:val="single" w:color="FFFFFF" w:themeColor="background1" w:sz="6" w:space="0"/>
      </w:tblBorders>
      <w:tblCellMar>
        <w:top w:w="0" w:type="dxa"/>
        <w:left w:w="108" w:type="dxa"/>
        <w:bottom w:w="0" w:type="dxa"/>
        <w:right w:w="108" w:type="dxa"/>
      </w:tblCellMar>
    </w:tblPr>
    <w:tcPr>
      <w:shd w:val="clear" w:color="auto" w:fill="FDE5D1" w:themeFill="accent6" w:themeFillTint="3F"/>
    </w:tcPr>
    <w:tblStylePr w:type="firstRow">
      <w:rPr>
        <w:b/>
        <w:bCs/>
        <w:i w:val="0"/>
        <w:iCs w:val="0"/>
        <w:color w:val="FFFFFF" w:themeColor="background1"/>
        <w14:textFill>
          <w14:solidFill>
            <w14:schemeClr w14:val="bg1"/>
          </w14:solidFill>
        </w14:textFill>
      </w:rPr>
      <w:tblPr/>
      <w:tcPr>
        <w:tcBorders>
          <w:top w:val="single" w:color="FFFFFF" w:themeColor="background1" w:sz="8" w:space="0"/>
          <w:left w:val="single" w:color="FFFFFF" w:themeColor="background1" w:sz="8" w:space="0"/>
          <w:bottom w:val="single" w:color="FFFFFF" w:themeColor="background1" w:sz="24" w:space="0"/>
          <w:right w:val="single" w:color="FFFFFF" w:themeColor="background1" w:sz="8" w:space="0"/>
          <w:insideH w:val="nil"/>
          <w:insideV w:val="single" w:sz="8" w:space="0"/>
        </w:tcBorders>
        <w:shd w:val="clear" w:color="auto" w:fill="F79646" w:themeFill="accent6"/>
      </w:tcPr>
    </w:tblStylePr>
    <w:tblStylePr w:type="lastRow">
      <w:rPr>
        <w:b/>
        <w:bCs/>
        <w:i w:val="0"/>
        <w:iCs w:val="0"/>
        <w:color w:val="FFFFFF" w:themeColor="background1"/>
        <w14:textFill>
          <w14:solidFill>
            <w14:schemeClr w14:val="bg1"/>
          </w14:solidFill>
        </w14:textFill>
      </w:rPr>
      <w:tblPr/>
      <w:tcPr>
        <w:tcBorders>
          <w:top w:val="single" w:color="FFFFFF" w:themeColor="background1" w:sz="24" w:space="0"/>
          <w:left w:val="single" w:color="FFFFFF" w:themeColor="background1" w:sz="8" w:space="0"/>
          <w:bottom w:val="single" w:color="FFFFFF" w:themeColor="background1" w:sz="8" w:space="0"/>
          <w:right w:val="single" w:color="FFFFFF" w:themeColor="background1" w:sz="8" w:space="0"/>
          <w:insideH w:val="nil"/>
          <w:insideV w:val="single" w:sz="8" w:space="0"/>
        </w:tcBorders>
        <w:shd w:val="clear" w:color="auto" w:fill="F79646" w:themeFill="accent6"/>
      </w:tcPr>
    </w:tblStylePr>
    <w:tblStylePr w:type="firstCol">
      <w:rPr>
        <w:b/>
        <w:bCs/>
        <w:i w:val="0"/>
        <w:iCs w:val="0"/>
        <w:color w:val="FFFFFF" w:themeColor="background1"/>
        <w14:textFill>
          <w14:solidFill>
            <w14:schemeClr w14:val="bg1"/>
          </w14:solidFill>
        </w14:textFill>
      </w:rPr>
      <w:tblPr/>
      <w:tcPr>
        <w:tcBorders>
          <w:left w:val="single" w:color="FFFFFF" w:themeColor="background1" w:sz="8" w:space="0"/>
          <w:right w:val="single" w:color="FFFFFF" w:themeColor="background1" w:sz="24" w:space="0"/>
          <w:insideH w:val="nil"/>
          <w:insideV w:val="nil"/>
        </w:tcBorders>
        <w:shd w:val="clear" w:color="auto" w:fill="F79646" w:themeFill="accent6"/>
      </w:tcPr>
    </w:tblStylePr>
    <w:tblStylePr w:type="lastCol">
      <w:rPr>
        <w:b/>
        <w:bCs/>
        <w:i w:val="0"/>
        <w:iCs w:val="0"/>
        <w:color w:val="FFFFFF" w:themeColor="background1"/>
        <w14:textFill>
          <w14:solidFill>
            <w14:schemeClr w14:val="bg1"/>
          </w14:solidFill>
        </w14:textFill>
      </w:rPr>
      <w:tblPr/>
      <w:tcPr>
        <w:tcBorders>
          <w:top w:val="nil"/>
          <w:left w:val="single" w:color="FFFFFF" w:themeColor="background1" w:sz="24" w:space="0"/>
          <w:bottom w:val="nil"/>
          <w:right w:val="nil"/>
          <w:insideH w:val="nil"/>
          <w:insideV w:val="nil"/>
        </w:tcBorders>
        <w:shd w:val="clear" w:color="auto" w:fill="F79646" w:themeFill="accent6"/>
      </w:tcPr>
    </w:tblStylePr>
    <w:tblStylePr w:type="band1Vert">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nil"/>
          <w:insideV w:val="nil"/>
        </w:tcBorders>
        <w:shd w:val="clear" w:color="auto" w:fill="FBCAA2" w:themeFill="accent6" w:themeFillTint="7F"/>
      </w:tcPr>
    </w:tblStylePr>
    <w:tblStylePr w:type="band1Horz">
      <w:tblPr/>
      <w:tcPr>
        <w:tcBorders>
          <w:top w:val="single" w:color="FFFFFF" w:themeColor="background1" w:sz="8" w:space="0"/>
          <w:left w:val="single" w:color="FFFFFF" w:themeColor="background1" w:sz="8" w:space="0"/>
          <w:bottom w:val="single" w:color="FFFFFF" w:themeColor="background1" w:sz="8" w:space="0"/>
          <w:right w:val="single" w:color="FFFFFF" w:themeColor="background1" w:sz="8" w:space="0"/>
          <w:insideH w:val="single" w:sz="8" w:space="0"/>
          <w:insideV w:val="single" w:sz="8" w:space="0"/>
        </w:tcBorders>
        <w:shd w:val="clear" w:color="auto" w:fill="FBCAA2" w:themeFill="accent6" w:themeFillTint="7F"/>
      </w:tcPr>
    </w:tblStylePr>
  </w:style>
  <w:style w:type="table" w:styleId="109">
    <w:name w:val="Dark List"/>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color="FFFFFF" w:themeColor="background1" w:sz="18" w:space="0"/>
          <w:insideH w:val="nil"/>
          <w:insideV w:val="nil"/>
        </w:tcBorders>
        <w:shd w:val="clear" w:color="auto" w:fill="000000" w:themeFill="text1" w:themeFillShade="BF"/>
      </w:tcPr>
    </w:tblStylePr>
    <w:tblStylePr w:type="lastCol">
      <w:tblPr/>
      <w:tcPr>
        <w:tcBorders>
          <w:top w:val="nil"/>
          <w:left w:val="single" w:color="FFFFFF" w:themeColor="background1" w:sz="18" w:space="0"/>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10">
    <w:name w:val="Dark List Accent 1"/>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43F61" w:themeFill="accent1" w:themeFillShade="7F"/>
      </w:tcPr>
    </w:tblStylePr>
    <w:tblStylePr w:type="firstCol">
      <w:tblPr/>
      <w:tcPr>
        <w:tcBorders>
          <w:top w:val="nil"/>
          <w:left w:val="nil"/>
          <w:bottom w:val="nil"/>
          <w:right w:val="single" w:color="FFFFFF" w:themeColor="background1" w:sz="18" w:space="0"/>
          <w:insideH w:val="nil"/>
          <w:insideV w:val="nil"/>
        </w:tcBorders>
        <w:shd w:val="clear" w:color="auto" w:fill="366091" w:themeFill="accent1" w:themeFillShade="BF"/>
      </w:tcPr>
    </w:tblStylePr>
    <w:tblStylePr w:type="lastCol">
      <w:tblPr/>
      <w:tcPr>
        <w:tcBorders>
          <w:top w:val="nil"/>
          <w:left w:val="single" w:color="FFFFFF" w:themeColor="background1" w:sz="18" w:space="0"/>
          <w:bottom w:val="nil"/>
          <w:right w:val="nil"/>
          <w:insideH w:val="nil"/>
          <w:insideV w:val="nil"/>
        </w:tcBorders>
        <w:shd w:val="clear" w:color="auto" w:fill="366091" w:themeFill="accent1" w:themeFillShade="BF"/>
      </w:tcPr>
    </w:tblStylePr>
    <w:tblStylePr w:type="band1Vert">
      <w:tblPr/>
      <w:tcPr>
        <w:tcBorders>
          <w:top w:val="nil"/>
          <w:left w:val="nil"/>
          <w:bottom w:val="nil"/>
          <w:right w:val="nil"/>
          <w:insideH w:val="nil"/>
          <w:insideV w:val="nil"/>
        </w:tcBorders>
        <w:shd w:val="clear" w:color="auto" w:fill="366091" w:themeFill="accent1" w:themeFillShade="BF"/>
      </w:tcPr>
    </w:tblStylePr>
    <w:tblStylePr w:type="band1Horz">
      <w:tblPr/>
      <w:tcPr>
        <w:tcBorders>
          <w:top w:val="nil"/>
          <w:left w:val="nil"/>
          <w:bottom w:val="nil"/>
          <w:right w:val="nil"/>
          <w:insideH w:val="nil"/>
          <w:insideV w:val="nil"/>
        </w:tcBorders>
        <w:shd w:val="clear" w:color="auto" w:fill="366091" w:themeFill="accent1" w:themeFillShade="BF"/>
      </w:tcPr>
    </w:tblStylePr>
  </w:style>
  <w:style w:type="table" w:styleId="111">
    <w:name w:val="Dark List Accent 2"/>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color="FFFFFF" w:themeColor="background1" w:sz="18" w:space="0"/>
          <w:insideH w:val="nil"/>
          <w:insideV w:val="nil"/>
        </w:tcBorders>
        <w:shd w:val="clear" w:color="auto" w:fill="943734" w:themeFill="accent2" w:themeFillShade="BF"/>
      </w:tcPr>
    </w:tblStylePr>
    <w:tblStylePr w:type="lastCol">
      <w:tblPr/>
      <w:tcPr>
        <w:tcBorders>
          <w:top w:val="nil"/>
          <w:left w:val="single" w:color="FFFFFF" w:themeColor="background1" w:sz="18" w:space="0"/>
          <w:bottom w:val="nil"/>
          <w:right w:val="nil"/>
          <w:insideH w:val="nil"/>
          <w:insideV w:val="nil"/>
        </w:tcBorders>
        <w:shd w:val="clear" w:color="auto" w:fill="943734" w:themeFill="accent2" w:themeFillShade="BF"/>
      </w:tcPr>
    </w:tblStylePr>
    <w:tblStylePr w:type="band1Vert">
      <w:tblPr/>
      <w:tcPr>
        <w:tcBorders>
          <w:top w:val="nil"/>
          <w:left w:val="nil"/>
          <w:bottom w:val="nil"/>
          <w:right w:val="nil"/>
          <w:insideH w:val="nil"/>
          <w:insideV w:val="nil"/>
        </w:tcBorders>
        <w:shd w:val="clear" w:color="auto" w:fill="943734" w:themeFill="accent2" w:themeFillShade="BF"/>
      </w:tcPr>
    </w:tblStylePr>
    <w:tblStylePr w:type="band1Horz">
      <w:tblPr/>
      <w:tcPr>
        <w:tcBorders>
          <w:top w:val="nil"/>
          <w:left w:val="nil"/>
          <w:bottom w:val="nil"/>
          <w:right w:val="nil"/>
          <w:insideH w:val="nil"/>
          <w:insideV w:val="nil"/>
        </w:tcBorders>
        <w:shd w:val="clear" w:color="auto" w:fill="943734" w:themeFill="accent2" w:themeFillShade="BF"/>
      </w:tcPr>
    </w:tblStylePr>
  </w:style>
  <w:style w:type="table" w:styleId="112">
    <w:name w:val="Dark List Accent 3"/>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4E6127" w:themeFill="accent3" w:themeFillShade="7F"/>
      </w:tcPr>
    </w:tblStylePr>
    <w:tblStylePr w:type="firstCol">
      <w:tblPr/>
      <w:tcPr>
        <w:tcBorders>
          <w:top w:val="nil"/>
          <w:left w:val="nil"/>
          <w:bottom w:val="nil"/>
          <w:right w:val="single" w:color="FFFFFF" w:themeColor="background1" w:sz="18" w:space="0"/>
          <w:insideH w:val="nil"/>
          <w:insideV w:val="nil"/>
        </w:tcBorders>
        <w:shd w:val="clear" w:color="auto" w:fill="76923C" w:themeFill="accent3" w:themeFillShade="BF"/>
      </w:tcPr>
    </w:tblStylePr>
    <w:tblStylePr w:type="lastCol">
      <w:tblPr/>
      <w:tcPr>
        <w:tcBorders>
          <w:top w:val="nil"/>
          <w:left w:val="single" w:color="FFFFFF" w:themeColor="background1" w:sz="18" w:space="0"/>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113">
    <w:name w:val="Dark List Accent 4"/>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3F3051" w:themeFill="accent4" w:themeFillShade="7F"/>
      </w:tcPr>
    </w:tblStylePr>
    <w:tblStylePr w:type="firstCol">
      <w:tblPr/>
      <w:tcPr>
        <w:tcBorders>
          <w:top w:val="nil"/>
          <w:left w:val="nil"/>
          <w:bottom w:val="nil"/>
          <w:right w:val="single" w:color="FFFFFF" w:themeColor="background1" w:sz="18" w:space="0"/>
          <w:insideH w:val="nil"/>
          <w:insideV w:val="nil"/>
        </w:tcBorders>
        <w:shd w:val="clear" w:color="auto" w:fill="5F497A" w:themeFill="accent4" w:themeFillShade="BF"/>
      </w:tcPr>
    </w:tblStylePr>
    <w:tblStylePr w:type="lastCol">
      <w:tblPr/>
      <w:tcPr>
        <w:tcBorders>
          <w:top w:val="nil"/>
          <w:left w:val="single" w:color="FFFFFF" w:themeColor="background1" w:sz="18" w:space="0"/>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114">
    <w:name w:val="Dark List Accent 5"/>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color="FFFFFF" w:themeColor="background1" w:sz="18" w:space="0"/>
          <w:insideH w:val="nil"/>
          <w:insideV w:val="nil"/>
        </w:tcBorders>
        <w:shd w:val="clear" w:color="auto" w:fill="31849B" w:themeFill="accent5" w:themeFillShade="BF"/>
      </w:tcPr>
    </w:tblStylePr>
    <w:tblStylePr w:type="lastCol">
      <w:tblPr/>
      <w:tcPr>
        <w:tcBorders>
          <w:top w:val="nil"/>
          <w:left w:val="single" w:color="FFFFFF" w:themeColor="background1" w:sz="18" w:space="0"/>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115">
    <w:name w:val="Dark List Accent 6"/>
    <w:basedOn w:val="37"/>
    <w:qFormat/>
    <w:uiPriority w:val="70"/>
    <w:pPr>
      <w:spacing w:after="0" w:line="240" w:lineRule="auto"/>
    </w:pPr>
    <w:rPr>
      <w:color w:val="FFFFFF" w:themeColor="background1"/>
      <w14:textFill>
        <w14:solidFill>
          <w14:schemeClr w14:val="bg1"/>
        </w14:solidFill>
      </w14:textFill>
    </w:rPr>
    <w:tblPr>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color="FFFFFF" w:themeColor="background1" w:sz="18" w:space="0"/>
          <w:right w:val="nil"/>
          <w:insideH w:val="nil"/>
          <w:insideV w:val="nil"/>
        </w:tcBorders>
        <w:shd w:val="clear" w:color="auto" w:fill="000000" w:themeFill="text1"/>
      </w:tcPr>
    </w:tblStylePr>
    <w:tblStylePr w:type="lastRow">
      <w:tblPr/>
      <w:tcPr>
        <w:tcBorders>
          <w:top w:val="single" w:color="FFFFFF" w:themeColor="background1" w:sz="18" w:space="0"/>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color="FFFFFF" w:themeColor="background1" w:sz="18" w:space="0"/>
          <w:insideH w:val="nil"/>
          <w:insideV w:val="nil"/>
        </w:tcBorders>
        <w:shd w:val="clear" w:color="auto" w:fill="E36C09" w:themeFill="accent6" w:themeFillShade="BF"/>
      </w:tcPr>
    </w:tblStylePr>
    <w:tblStylePr w:type="lastCol">
      <w:tblPr/>
      <w:tcPr>
        <w:tcBorders>
          <w:top w:val="nil"/>
          <w:left w:val="single" w:color="FFFFFF" w:themeColor="background1" w:sz="18" w:space="0"/>
          <w:bottom w:val="nil"/>
          <w:right w:val="nil"/>
          <w:insideH w:val="nil"/>
          <w:insideV w:val="nil"/>
        </w:tcBorders>
        <w:shd w:val="clear" w:color="auto" w:fill="E36C09" w:themeFill="accent6" w:themeFillShade="BF"/>
      </w:tcPr>
    </w:tblStylePr>
    <w:tblStylePr w:type="band1Vert">
      <w:tblPr/>
      <w:tcPr>
        <w:tcBorders>
          <w:top w:val="nil"/>
          <w:left w:val="nil"/>
          <w:bottom w:val="nil"/>
          <w:right w:val="nil"/>
          <w:insideH w:val="nil"/>
          <w:insideV w:val="nil"/>
        </w:tcBorders>
        <w:shd w:val="clear" w:color="auto" w:fill="E36C09" w:themeFill="accent6" w:themeFillShade="BF"/>
      </w:tcPr>
    </w:tblStylePr>
    <w:tblStylePr w:type="band1Horz">
      <w:tblPr/>
      <w:tcPr>
        <w:tcBorders>
          <w:top w:val="nil"/>
          <w:left w:val="nil"/>
          <w:bottom w:val="nil"/>
          <w:right w:val="nil"/>
          <w:insideH w:val="nil"/>
          <w:insideV w:val="nil"/>
        </w:tcBorders>
        <w:shd w:val="clear" w:color="auto" w:fill="E36C09" w:themeFill="accent6" w:themeFillShade="BF"/>
      </w:tcPr>
    </w:tblStylePr>
  </w:style>
  <w:style w:type="table" w:styleId="116">
    <w:name w:val="Colorful Shading"/>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000000" w:themeColor="text1" w:sz="4" w:space="0"/>
        <w:bottom w:val="single" w:color="000000" w:themeColor="text1" w:sz="4" w:space="0"/>
        <w:right w:val="single" w:color="000000" w:themeColor="tex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5E5E5" w:themeFill="tex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000000" w:themeFill="tex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000000" w:themeFill="tex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7F7F7F" w:themeFill="tex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7">
    <w:name w:val="Colorful Shading Accent 1"/>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4F81BD" w:themeColor="accent1" w:sz="4" w:space="0"/>
        <w:bottom w:val="single" w:color="4F81BD" w:themeColor="accent1" w:sz="4" w:space="0"/>
        <w:right w:val="single" w:color="4F81BD" w:themeColor="accent1"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B4D74" w:themeFill="accent1"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B4D74" w:themeFill="accent1"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B4D74" w:themeFill="accent1" w:themeFillShade="99"/>
      </w:tcPr>
    </w:tblStylePr>
    <w:tblStylePr w:type="band1Vert">
      <w:tblPr/>
      <w:tcPr>
        <w:shd w:val="clear" w:color="auto" w:fill="B8CCE4" w:themeFill="accent1" w:themeFillTint="66"/>
      </w:tcPr>
    </w:tblStylePr>
    <w:tblStylePr w:type="band1Horz">
      <w:tblPr/>
      <w:tcPr>
        <w:shd w:val="clear" w:color="auto" w:fill="A7C0DE" w:themeFill="accent1"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8">
    <w:name w:val="Colorful Shading Accent 2"/>
    <w:basedOn w:val="37"/>
    <w:qFormat/>
    <w:uiPriority w:val="71"/>
    <w:pPr>
      <w:spacing w:after="0" w:line="240" w:lineRule="auto"/>
    </w:pPr>
    <w:rPr>
      <w:color w:val="000000" w:themeColor="text1"/>
      <w14:textFill>
        <w14:solidFill>
          <w14:schemeClr w14:val="tx1"/>
        </w14:solidFill>
      </w14:textFill>
    </w:rPr>
    <w:tblPr>
      <w:tblBorders>
        <w:top w:val="single" w:color="C0504D" w:themeColor="accent2" w:sz="24" w:space="0"/>
        <w:left w:val="single" w:color="C0504D" w:themeColor="accent2" w:sz="4" w:space="0"/>
        <w:bottom w:val="single" w:color="C0504D" w:themeColor="accent2" w:sz="4" w:space="0"/>
        <w:right w:val="single" w:color="C0504D" w:themeColor="accent2"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color="C0504D" w:themeColor="accent2"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772C2A" w:themeFill="accent2"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772C2A" w:themeFill="accent2"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19">
    <w:name w:val="Colorful Shading Accent 3"/>
    <w:basedOn w:val="37"/>
    <w:qFormat/>
    <w:uiPriority w:val="71"/>
    <w:pPr>
      <w:spacing w:after="0" w:line="240" w:lineRule="auto"/>
    </w:pPr>
    <w:rPr>
      <w:color w:val="000000" w:themeColor="text1"/>
      <w14:textFill>
        <w14:solidFill>
          <w14:schemeClr w14:val="tx1"/>
        </w14:solidFill>
      </w14:textFill>
    </w:rPr>
    <w:tblPr>
      <w:tblBorders>
        <w:top w:val="single" w:color="8064A2" w:themeColor="accent4" w:sz="24" w:space="0"/>
        <w:left w:val="single" w:color="9BBB59" w:themeColor="accent3" w:sz="4" w:space="0"/>
        <w:bottom w:val="single" w:color="9BBB59" w:themeColor="accent3" w:sz="4" w:space="0"/>
        <w:right w:val="single" w:color="9BBB59" w:themeColor="accent3"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color="8064A2" w:themeColor="accent4"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5E7530" w:themeFill="accent3"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5E7530" w:themeFill="accent3"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120">
    <w:name w:val="Colorful Shading Accent 4"/>
    <w:basedOn w:val="37"/>
    <w:qFormat/>
    <w:uiPriority w:val="71"/>
    <w:pPr>
      <w:spacing w:after="0" w:line="240" w:lineRule="auto"/>
    </w:pPr>
    <w:rPr>
      <w:color w:val="000000" w:themeColor="text1"/>
      <w14:textFill>
        <w14:solidFill>
          <w14:schemeClr w14:val="tx1"/>
        </w14:solidFill>
      </w14:textFill>
    </w:rPr>
    <w:tblPr>
      <w:tblBorders>
        <w:top w:val="single" w:color="9BBB59" w:themeColor="accent3" w:sz="24" w:space="0"/>
        <w:left w:val="single" w:color="8064A2" w:themeColor="accent4" w:sz="4" w:space="0"/>
        <w:bottom w:val="single" w:color="8064A2" w:themeColor="accent4" w:sz="4" w:space="0"/>
        <w:right w:val="single" w:color="8064A2" w:themeColor="accent4"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2EFF5" w:themeFill="accent4" w:themeFillTint="19"/>
    </w:tcPr>
    <w:tblStylePr w:type="firstRow">
      <w:rPr>
        <w:b/>
        <w:bCs/>
      </w:rPr>
      <w:tblPr/>
      <w:tcPr>
        <w:tcBorders>
          <w:top w:val="nil"/>
          <w:left w:val="nil"/>
          <w:bottom w:val="single" w:color="9BBB59" w:themeColor="accent3"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4C3A62" w:themeFill="accent4"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4C3A62" w:themeFill="accent4"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4C3A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1">
    <w:name w:val="Colorful Shading Accent 5"/>
    <w:basedOn w:val="37"/>
    <w:qFormat/>
    <w:uiPriority w:val="71"/>
    <w:pPr>
      <w:spacing w:after="0" w:line="240" w:lineRule="auto"/>
    </w:pPr>
    <w:rPr>
      <w:color w:val="000000" w:themeColor="text1"/>
      <w14:textFill>
        <w14:solidFill>
          <w14:schemeClr w14:val="tx1"/>
        </w14:solidFill>
      </w14:textFill>
    </w:rPr>
    <w:tblPr>
      <w:tblBorders>
        <w:top w:val="single" w:color="F79646" w:themeColor="accent6" w:sz="24" w:space="0"/>
        <w:left w:val="single" w:color="4BACC6" w:themeColor="accent5" w:sz="4" w:space="0"/>
        <w:bottom w:val="single" w:color="4BACC6" w:themeColor="accent5" w:sz="4" w:space="0"/>
        <w:right w:val="single" w:color="4BACC6" w:themeColor="accent5"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color="F79646" w:themeColor="accent6"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276A7C" w:themeFill="accent5"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276A7C" w:themeFill="accent5"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2">
    <w:name w:val="Colorful Shading Accent 6"/>
    <w:basedOn w:val="37"/>
    <w:qFormat/>
    <w:uiPriority w:val="71"/>
    <w:pPr>
      <w:spacing w:after="0" w:line="240" w:lineRule="auto"/>
    </w:pPr>
    <w:rPr>
      <w:color w:val="000000" w:themeColor="text1"/>
      <w14:textFill>
        <w14:solidFill>
          <w14:schemeClr w14:val="tx1"/>
        </w14:solidFill>
      </w14:textFill>
    </w:rPr>
    <w:tblPr>
      <w:tblBorders>
        <w:top w:val="single" w:color="4BACC6" w:themeColor="accent5" w:sz="24" w:space="0"/>
        <w:left w:val="single" w:color="F79646" w:themeColor="accent6" w:sz="4" w:space="0"/>
        <w:bottom w:val="single" w:color="F79646" w:themeColor="accent6" w:sz="4" w:space="0"/>
        <w:right w:val="single" w:color="F79646" w:themeColor="accent6" w:sz="4" w:space="0"/>
        <w:insideH w:val="single" w:color="FFFFFF" w:themeColor="background1" w:sz="4" w:space="0"/>
        <w:insideV w:val="single" w:color="FFFFFF" w:themeColor="background1" w:sz="4" w:space="0"/>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color="4BACC6" w:themeColor="accent5" w:sz="24" w:space="0"/>
          <w:right w:val="nil"/>
          <w:insideH w:val="nil"/>
          <w:insideV w:val="nil"/>
        </w:tcBorders>
        <w:shd w:val="clear" w:color="auto" w:fill="FFFFFF" w:themeFill="background1"/>
      </w:tcPr>
    </w:tblStylePr>
    <w:tblStylePr w:type="lastRow">
      <w:rPr>
        <w:b/>
        <w:bCs/>
        <w:color w:val="FFFFFF" w:themeColor="background1"/>
        <w14:textFill>
          <w14:solidFill>
            <w14:schemeClr w14:val="bg1"/>
          </w14:solidFill>
        </w14:textFill>
      </w:rPr>
      <w:tblPr/>
      <w:tcPr>
        <w:tcBorders>
          <w:top w:val="single" w:color="FFFFFF" w:themeColor="background1" w:sz="6" w:space="0"/>
        </w:tcBorders>
        <w:shd w:val="clear" w:color="auto" w:fill="B65607" w:themeFill="accent6" w:themeFillShade="99"/>
      </w:tcPr>
    </w:tblStylePr>
    <w:tblStylePr w:type="firstCol">
      <w:rPr>
        <w:color w:val="FFFFFF" w:themeColor="background1"/>
        <w14:textFill>
          <w14:solidFill>
            <w14:schemeClr w14:val="bg1"/>
          </w14:solidFill>
        </w14:textFill>
      </w:rPr>
      <w:tblPr/>
      <w:tcPr>
        <w:tcBorders>
          <w:top w:val="nil"/>
          <w:left w:val="nil"/>
          <w:bottom w:val="nil"/>
          <w:right w:val="nil"/>
          <w:insideH w:val="single" w:sz="4" w:space="0"/>
          <w:insideV w:val="nil"/>
        </w:tcBorders>
        <w:shd w:val="clear" w:color="auto" w:fill="B65607" w:themeFill="accent6" w:themeFillShade="99"/>
      </w:tcPr>
    </w:tblStylePr>
    <w:tblStylePr w:type="lastCol">
      <w:rPr>
        <w:color w:val="FFFFFF" w:themeColor="background1"/>
        <w14:textFill>
          <w14:solidFill>
            <w14:schemeClr w14:val="bg1"/>
          </w14:solidFill>
        </w14:textFill>
      </w:rPr>
      <w:tblPr/>
      <w:tcPr>
        <w:tcBorders>
          <w:top w:val="nil"/>
          <w:left w:val="nil"/>
          <w:bottom w:val="nil"/>
          <w:right w:val="nil"/>
          <w:insideH w:val="nil"/>
          <w:insideV w:val="nil"/>
        </w:tcBorders>
        <w:shd w:val="clear" w:color="auto" w:fill="B65607"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14:textFill>
          <w14:solidFill>
            <w14:schemeClr w14:val="tx1"/>
          </w14:solidFill>
        </w14:textFill>
      </w:rPr>
    </w:tblStylePr>
    <w:tblStylePr w:type="nwCell">
      <w:rPr>
        <w:color w:val="000000" w:themeColor="text1"/>
        <w14:textFill>
          <w14:solidFill>
            <w14:schemeClr w14:val="tx1"/>
          </w14:solidFill>
        </w14:textFill>
      </w:rPr>
    </w:tblStylePr>
  </w:style>
  <w:style w:type="table" w:styleId="123">
    <w:name w:val="Colorful List"/>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5E5E5" w:themeFill="tex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FBFBF" w:themeFill="text1" w:themeFillTint="3F"/>
      </w:tcPr>
    </w:tblStylePr>
    <w:tblStylePr w:type="band1Horz">
      <w:tblPr/>
      <w:tcPr>
        <w:shd w:val="clear" w:color="auto" w:fill="CCCCCC" w:themeFill="text1" w:themeFillTint="33"/>
      </w:tcPr>
    </w:tblStylePr>
  </w:style>
  <w:style w:type="table" w:styleId="124">
    <w:name w:val="Colorful List Accent 1"/>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125">
    <w:name w:val="Colorful List Accent 2"/>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9E3A38" w:themeFill="accent2" w:themeFillShade="CC"/>
      </w:tcPr>
    </w:tblStylePr>
    <w:tblStylePr w:type="lastRow">
      <w:rPr>
        <w:b/>
        <w:bCs/>
        <w:color w:val="9F3B38" w:themeColor="accent2"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3" w:themeFill="accent2" w:themeFillTint="3F"/>
      </w:tcPr>
    </w:tblStylePr>
    <w:tblStylePr w:type="band1Horz">
      <w:tblPr/>
      <w:tcPr>
        <w:shd w:val="clear" w:color="auto" w:fill="F2DBDB" w:themeFill="accent2" w:themeFillTint="33"/>
      </w:tcPr>
    </w:tblStylePr>
  </w:style>
  <w:style w:type="table" w:styleId="126">
    <w:name w:val="Colorful List Accent 3"/>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664E82" w:themeFill="accent4" w:themeFillShade="CC"/>
      </w:tcPr>
    </w:tblStylePr>
    <w:tblStylePr w:type="lastRow">
      <w:rPr>
        <w:b/>
        <w:bCs/>
        <w:color w:val="664F83" w:themeColor="accent4"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127">
    <w:name w:val="Colorful List Accent 4"/>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2EFF5" w:themeFill="accent4"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7E9C40" w:themeFill="accent3" w:themeFillShade="CC"/>
      </w:tcPr>
    </w:tblStylePr>
    <w:tblStylePr w:type="lastRow">
      <w:rPr>
        <w:b/>
        <w:bCs/>
        <w:color w:val="7E9D40" w:themeColor="accent3"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128">
    <w:name w:val="Colorful List Accent 5"/>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F3730A" w:themeFill="accent6" w:themeFillShade="CC"/>
      </w:tcPr>
    </w:tblStylePr>
    <w:tblStylePr w:type="lastRow">
      <w:rPr>
        <w:b/>
        <w:bCs/>
        <w:color w:val="F3740B" w:themeColor="accent6"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0" w:themeFill="accent5" w:themeFillTint="3F"/>
      </w:tcPr>
    </w:tblStylePr>
    <w:tblStylePr w:type="band1Horz">
      <w:tblPr/>
      <w:tcPr>
        <w:shd w:val="clear" w:color="auto" w:fill="DAEEF3" w:themeFill="accent5" w:themeFillTint="33"/>
      </w:tcPr>
    </w:tblStylePr>
  </w:style>
  <w:style w:type="table" w:styleId="129">
    <w:name w:val="Colorful List Accent 6"/>
    <w:basedOn w:val="37"/>
    <w:qFormat/>
    <w:uiPriority w:val="72"/>
    <w:pPr>
      <w:spacing w:after="0" w:line="240" w:lineRule="auto"/>
    </w:pPr>
    <w:rPr>
      <w:color w:val="000000" w:themeColor="text1"/>
      <w14:textFill>
        <w14:solidFill>
          <w14:schemeClr w14:val="tx1"/>
        </w14:solidFill>
      </w14:textFill>
    </w:rPr>
    <w:tblPr>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14:textFill>
          <w14:solidFill>
            <w14:schemeClr w14:val="bg1"/>
          </w14:solidFill>
        </w14:textFill>
      </w:rPr>
      <w:tblPr/>
      <w:tcPr>
        <w:tcBorders>
          <w:bottom w:val="single" w:color="FFFFFF" w:themeColor="background1" w:sz="12" w:space="0"/>
        </w:tcBorders>
        <w:shd w:val="clear" w:color="auto" w:fill="348DA5" w:themeFill="accent5" w:themeFillShade="CC"/>
      </w:tcPr>
    </w:tblStylePr>
    <w:tblStylePr w:type="lastRow">
      <w:rPr>
        <w:b/>
        <w:bCs/>
        <w:color w:val="358EA6" w:themeColor="accent5" w:themeShade="CC"/>
      </w:rPr>
      <w:tblPr/>
      <w:tcPr>
        <w:tcBorders>
          <w:top w:val="single" w:color="000000" w:themeColor="text1" w:sz="12" w:space="0"/>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5D1" w:themeFill="accent6" w:themeFillTint="3F"/>
      </w:tcPr>
    </w:tblStylePr>
    <w:tblStylePr w:type="band1Horz">
      <w:tblPr/>
      <w:tcPr>
        <w:shd w:val="clear" w:color="auto" w:fill="FDE9D9" w:themeFill="accent6" w:themeFillTint="33"/>
      </w:tcPr>
    </w:tblStylePr>
  </w:style>
  <w:style w:type="table" w:styleId="130">
    <w:name w:val="Colorful Grid"/>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14:textFill>
          <w14:solidFill>
            <w14:schemeClr w14:val="tx1"/>
          </w14:solidFill>
        </w14:textFill>
      </w:rPr>
      <w:tblPr/>
      <w:tcPr>
        <w:shd w:val="clear" w:color="auto" w:fill="999999" w:themeFill="text1" w:themeFillTint="66"/>
      </w:tcPr>
    </w:tblStylePr>
    <w:tblStylePr w:type="firstCol">
      <w:rPr>
        <w:color w:val="FFFFFF" w:themeColor="background1"/>
        <w14:textFill>
          <w14:solidFill>
            <w14:schemeClr w14:val="bg1"/>
          </w14:solidFill>
        </w14:textFill>
      </w:rPr>
      <w:tblPr/>
      <w:tcPr>
        <w:shd w:val="clear" w:color="auto" w:fill="000000" w:themeFill="text1" w:themeFillShade="BF"/>
      </w:tcPr>
    </w:tblStylePr>
    <w:tblStylePr w:type="lastCol">
      <w:rPr>
        <w:color w:val="FFFFFF" w:themeColor="background1"/>
        <w14:textFill>
          <w14:solidFill>
            <w14:schemeClr w14:val="bg1"/>
          </w14:solidFill>
        </w14:textFill>
      </w:rPr>
      <w:tblPr/>
      <w:tcPr>
        <w:shd w:val="clear" w:color="auto" w:fill="000000" w:themeFill="text1" w:themeFillShade="BF"/>
      </w:tcPr>
    </w:tblStylePr>
    <w:tblStylePr w:type="band1Vert">
      <w:tblPr/>
      <w:tcPr>
        <w:shd w:val="clear" w:color="auto" w:fill="7F7F7F" w:themeFill="text1" w:themeFillTint="7F"/>
      </w:tcPr>
    </w:tblStylePr>
    <w:tblStylePr w:type="band1Horz">
      <w:tblPr/>
      <w:tcPr>
        <w:shd w:val="clear" w:color="auto" w:fill="7F7F7F" w:themeFill="text1" w:themeFillTint="7F"/>
      </w:tcPr>
    </w:tblStylePr>
  </w:style>
  <w:style w:type="table" w:styleId="131">
    <w:name w:val="Colorful Grid Accent 1"/>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14:textFill>
          <w14:solidFill>
            <w14:schemeClr w14:val="tx1"/>
          </w14:solidFill>
        </w14:textFill>
      </w:rPr>
      <w:tblPr/>
      <w:tcPr>
        <w:shd w:val="clear" w:color="auto" w:fill="B8CCE4" w:themeFill="accent1" w:themeFillTint="66"/>
      </w:tcPr>
    </w:tblStylePr>
    <w:tblStylePr w:type="firstCol">
      <w:rPr>
        <w:color w:val="FFFFFF" w:themeColor="background1"/>
        <w14:textFill>
          <w14:solidFill>
            <w14:schemeClr w14:val="bg1"/>
          </w14:solidFill>
        </w14:textFill>
      </w:rPr>
      <w:tblPr/>
      <w:tcPr>
        <w:shd w:val="clear" w:color="auto" w:fill="366091" w:themeFill="accent1" w:themeFillShade="BF"/>
      </w:tcPr>
    </w:tblStylePr>
    <w:tblStylePr w:type="lastCol">
      <w:rPr>
        <w:color w:val="FFFFFF" w:themeColor="background1"/>
        <w14:textFill>
          <w14:solidFill>
            <w14:schemeClr w14:val="bg1"/>
          </w14:solidFill>
        </w14:textFill>
      </w:rPr>
      <w:tblPr/>
      <w:tcPr>
        <w:shd w:val="clear" w:color="auto" w:fill="366091" w:themeFill="accent1" w:themeFillShade="BF"/>
      </w:tcPr>
    </w:tblStylePr>
    <w:tblStylePr w:type="band1Vert">
      <w:tblPr/>
      <w:tcPr>
        <w:shd w:val="clear" w:color="auto" w:fill="A7C0DE" w:themeFill="accent1" w:themeFillTint="7F"/>
      </w:tcPr>
    </w:tblStylePr>
    <w:tblStylePr w:type="band1Horz">
      <w:tblPr/>
      <w:tcPr>
        <w:shd w:val="clear" w:color="auto" w:fill="A7C0DE" w:themeFill="accent1" w:themeFillTint="7F"/>
      </w:tcPr>
    </w:tblStylePr>
  </w:style>
  <w:style w:type="table" w:styleId="132">
    <w:name w:val="Colorful Grid Accent 2"/>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14:textFill>
          <w14:solidFill>
            <w14:schemeClr w14:val="tx1"/>
          </w14:solidFill>
        </w14:textFill>
      </w:rPr>
      <w:tblPr/>
      <w:tcPr>
        <w:shd w:val="clear" w:color="auto" w:fill="E5B8B7" w:themeFill="accent2" w:themeFillTint="66"/>
      </w:tcPr>
    </w:tblStylePr>
    <w:tblStylePr w:type="firstCol">
      <w:rPr>
        <w:color w:val="FFFFFF" w:themeColor="background1"/>
        <w14:textFill>
          <w14:solidFill>
            <w14:schemeClr w14:val="bg1"/>
          </w14:solidFill>
        </w14:textFill>
      </w:rPr>
      <w:tblPr/>
      <w:tcPr>
        <w:shd w:val="clear" w:color="auto" w:fill="943734" w:themeFill="accent2" w:themeFillShade="BF"/>
      </w:tcPr>
    </w:tblStylePr>
    <w:tblStylePr w:type="lastCol">
      <w:rPr>
        <w:color w:val="FFFFFF" w:themeColor="background1"/>
        <w14:textFill>
          <w14:solidFill>
            <w14:schemeClr w14:val="bg1"/>
          </w14:solidFill>
        </w14:textFill>
      </w:rPr>
      <w:tblPr/>
      <w:tcPr>
        <w:shd w:val="clear" w:color="auto" w:fill="9437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3">
    <w:name w:val="Colorful Grid Accent 3"/>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14:textFill>
          <w14:solidFill>
            <w14:schemeClr w14:val="tx1"/>
          </w14:solidFill>
        </w14:textFill>
      </w:rPr>
      <w:tblPr/>
      <w:tcPr>
        <w:shd w:val="clear" w:color="auto" w:fill="D6E3BC" w:themeFill="accent3" w:themeFillTint="66"/>
      </w:tcPr>
    </w:tblStylePr>
    <w:tblStylePr w:type="firstCol">
      <w:rPr>
        <w:color w:val="FFFFFF" w:themeColor="background1"/>
        <w14:textFill>
          <w14:solidFill>
            <w14:schemeClr w14:val="bg1"/>
          </w14:solidFill>
        </w14:textFill>
      </w:rPr>
      <w:tblPr/>
      <w:tcPr>
        <w:shd w:val="clear" w:color="auto" w:fill="76923C" w:themeFill="accent3" w:themeFillShade="BF"/>
      </w:tcPr>
    </w:tblStylePr>
    <w:tblStylePr w:type="lastCol">
      <w:rPr>
        <w:color w:val="FFFFFF" w:themeColor="background1"/>
        <w14:textFill>
          <w14:solidFill>
            <w14:schemeClr w14:val="bg1"/>
          </w14:solidFill>
        </w14:textFill>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34">
    <w:name w:val="Colorful Grid Accent 4"/>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14:textFill>
          <w14:solidFill>
            <w14:schemeClr w14:val="tx1"/>
          </w14:solidFill>
        </w14:textFill>
      </w:rPr>
      <w:tblPr/>
      <w:tcPr>
        <w:shd w:val="clear" w:color="auto" w:fill="CCC0D9" w:themeFill="accent4" w:themeFillTint="66"/>
      </w:tcPr>
    </w:tblStylePr>
    <w:tblStylePr w:type="firstCol">
      <w:rPr>
        <w:color w:val="FFFFFF" w:themeColor="background1"/>
        <w14:textFill>
          <w14:solidFill>
            <w14:schemeClr w14:val="bg1"/>
          </w14:solidFill>
        </w14:textFill>
      </w:rPr>
      <w:tblPr/>
      <w:tcPr>
        <w:shd w:val="clear" w:color="auto" w:fill="5F497A" w:themeFill="accent4" w:themeFillShade="BF"/>
      </w:tcPr>
    </w:tblStylePr>
    <w:tblStylePr w:type="lastCol">
      <w:rPr>
        <w:color w:val="FFFFFF" w:themeColor="background1"/>
        <w14:textFill>
          <w14:solidFill>
            <w14:schemeClr w14:val="bg1"/>
          </w14:solidFill>
        </w14:textFill>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35">
    <w:name w:val="Colorful Grid Accent 5"/>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14:textFill>
          <w14:solidFill>
            <w14:schemeClr w14:val="tx1"/>
          </w14:solidFill>
        </w14:textFill>
      </w:rPr>
      <w:tblPr/>
      <w:tcPr>
        <w:shd w:val="clear" w:color="auto" w:fill="B6DDE8" w:themeFill="accent5" w:themeFillTint="66"/>
      </w:tcPr>
    </w:tblStylePr>
    <w:tblStylePr w:type="firstCol">
      <w:rPr>
        <w:color w:val="FFFFFF" w:themeColor="background1"/>
        <w14:textFill>
          <w14:solidFill>
            <w14:schemeClr w14:val="bg1"/>
          </w14:solidFill>
        </w14:textFill>
      </w:rPr>
      <w:tblPr/>
      <w:tcPr>
        <w:shd w:val="clear" w:color="auto" w:fill="31849B" w:themeFill="accent5" w:themeFillShade="BF"/>
      </w:tcPr>
    </w:tblStylePr>
    <w:tblStylePr w:type="lastCol">
      <w:rPr>
        <w:color w:val="FFFFFF" w:themeColor="background1"/>
        <w14:textFill>
          <w14:solidFill>
            <w14:schemeClr w14:val="bg1"/>
          </w14:solidFill>
        </w14:textFill>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36">
    <w:name w:val="Colorful Grid Accent 6"/>
    <w:basedOn w:val="37"/>
    <w:qFormat/>
    <w:uiPriority w:val="73"/>
    <w:pPr>
      <w:spacing w:after="0" w:line="240" w:lineRule="auto"/>
    </w:pPr>
    <w:rPr>
      <w:color w:val="000000" w:themeColor="text1"/>
      <w14:textFill>
        <w14:solidFill>
          <w14:schemeClr w14:val="tx1"/>
        </w14:solidFill>
      </w14:textFill>
    </w:rPr>
    <w:tblPr>
      <w:tblBorders>
        <w:insideH w:val="single" w:color="FFFFFF" w:themeColor="background1" w:sz="4" w:space="0"/>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14:textFill>
          <w14:solidFill>
            <w14:schemeClr w14:val="tx1"/>
          </w14:solidFill>
        </w14:textFill>
      </w:rPr>
      <w:tblPr/>
      <w:tcPr>
        <w:shd w:val="clear" w:color="auto" w:fill="FBD4B4" w:themeFill="accent6" w:themeFillTint="66"/>
      </w:tcPr>
    </w:tblStylePr>
    <w:tblStylePr w:type="firstCol">
      <w:rPr>
        <w:color w:val="FFFFFF" w:themeColor="background1"/>
        <w14:textFill>
          <w14:solidFill>
            <w14:schemeClr w14:val="bg1"/>
          </w14:solidFill>
        </w14:textFill>
      </w:rPr>
      <w:tblPr/>
      <w:tcPr>
        <w:shd w:val="clear" w:color="auto" w:fill="E36C09" w:themeFill="accent6" w:themeFillShade="BF"/>
      </w:tcPr>
    </w:tblStylePr>
    <w:tblStylePr w:type="lastCol">
      <w:rPr>
        <w:color w:val="FFFFFF" w:themeColor="background1"/>
        <w14:textFill>
          <w14:solidFill>
            <w14:schemeClr w14:val="bg1"/>
          </w14:solidFill>
        </w14:textFill>
      </w:rPr>
      <w:tblPr/>
      <w:tcPr>
        <w:shd w:val="clear" w:color="auto" w:fill="E36C09"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138">
    <w:name w:val="Strong"/>
    <w:basedOn w:val="137"/>
    <w:qFormat/>
    <w:uiPriority w:val="22"/>
    <w:rPr>
      <w:b/>
      <w:bCs/>
    </w:rPr>
  </w:style>
  <w:style w:type="character" w:styleId="139">
    <w:name w:val="Emphasis"/>
    <w:basedOn w:val="137"/>
    <w:qFormat/>
    <w:uiPriority w:val="20"/>
    <w:rPr>
      <w:i/>
      <w:iCs/>
    </w:rPr>
  </w:style>
  <w:style w:type="character" w:styleId="140">
    <w:name w:val="Hyperlink"/>
    <w:basedOn w:val="137"/>
    <w:qFormat/>
    <w:uiPriority w:val="0"/>
    <w:rPr>
      <w:color w:val="0000FF"/>
      <w:u w:val="single"/>
    </w:rPr>
  </w:style>
  <w:style w:type="character" w:customStyle="1" w:styleId="141">
    <w:name w:val="Header Char"/>
    <w:basedOn w:val="137"/>
    <w:link w:val="29"/>
    <w:qFormat/>
    <w:uiPriority w:val="99"/>
  </w:style>
  <w:style w:type="character" w:customStyle="1" w:styleId="142">
    <w:name w:val="Footer Char"/>
    <w:basedOn w:val="137"/>
    <w:link w:val="28"/>
    <w:qFormat/>
    <w:uiPriority w:val="99"/>
  </w:style>
  <w:style w:type="paragraph" w:customStyle="1" w:styleId="143">
    <w:name w:val="No Spacing"/>
    <w:qFormat/>
    <w:uiPriority w:val="1"/>
    <w:pPr>
      <w:spacing w:after="0" w:line="240" w:lineRule="auto"/>
    </w:pPr>
    <w:rPr>
      <w:rFonts w:asciiTheme="minorHAnsi" w:hAnsiTheme="minorHAnsi" w:eastAsiaTheme="minorEastAsia" w:cstheme="minorBidi"/>
      <w:sz w:val="22"/>
      <w:szCs w:val="22"/>
      <w:lang w:val="en-US" w:eastAsia="en-US" w:bidi="ar-SA"/>
    </w:rPr>
  </w:style>
  <w:style w:type="character" w:customStyle="1" w:styleId="144">
    <w:name w:val="Heading 1 Char"/>
    <w:basedOn w:val="137"/>
    <w:link w:val="3"/>
    <w:qFormat/>
    <w:uiPriority w:val="9"/>
    <w:rPr>
      <w:rFonts w:asciiTheme="majorHAnsi" w:hAnsiTheme="majorHAnsi" w:eastAsiaTheme="majorEastAsia" w:cstheme="majorBidi"/>
      <w:b/>
      <w:bCs/>
      <w:color w:val="376092" w:themeColor="accent1" w:themeShade="BF"/>
      <w:sz w:val="28"/>
      <w:szCs w:val="28"/>
    </w:rPr>
  </w:style>
  <w:style w:type="character" w:customStyle="1" w:styleId="145">
    <w:name w:val="Heading 2 Char"/>
    <w:basedOn w:val="137"/>
    <w:link w:val="4"/>
    <w:qFormat/>
    <w:uiPriority w:val="9"/>
    <w:rPr>
      <w:rFonts w:asciiTheme="majorHAnsi" w:hAnsiTheme="majorHAnsi" w:eastAsiaTheme="majorEastAsia" w:cstheme="majorBidi"/>
      <w:b/>
      <w:bCs/>
      <w:color w:val="4F81BD" w:themeColor="accent1"/>
      <w:sz w:val="26"/>
      <w:szCs w:val="26"/>
      <w14:textFill>
        <w14:solidFill>
          <w14:schemeClr w14:val="accent1"/>
        </w14:solidFill>
      </w14:textFill>
    </w:rPr>
  </w:style>
  <w:style w:type="character" w:customStyle="1" w:styleId="146">
    <w:name w:val="Heading 3 Char"/>
    <w:basedOn w:val="137"/>
    <w:link w:val="5"/>
    <w:qFormat/>
    <w:uiPriority w:val="9"/>
    <w:rPr>
      <w:rFonts w:asciiTheme="majorHAnsi" w:hAnsiTheme="majorHAnsi" w:eastAsiaTheme="majorEastAsia" w:cstheme="majorBidi"/>
      <w:b/>
      <w:bCs/>
      <w:color w:val="4F81BD" w:themeColor="accent1"/>
      <w14:textFill>
        <w14:solidFill>
          <w14:schemeClr w14:val="accent1"/>
        </w14:solidFill>
      </w14:textFill>
    </w:rPr>
  </w:style>
  <w:style w:type="character" w:customStyle="1" w:styleId="147">
    <w:name w:val="Title Char"/>
    <w:basedOn w:val="137"/>
    <w:link w:val="36"/>
    <w:qFormat/>
    <w:uiPriority w:val="10"/>
    <w:rPr>
      <w:rFonts w:asciiTheme="majorHAnsi" w:hAnsiTheme="majorHAnsi" w:eastAsiaTheme="majorEastAsia" w:cstheme="majorBidi"/>
      <w:color w:val="17375E" w:themeColor="text2" w:themeShade="BF"/>
      <w:spacing w:val="5"/>
      <w:kern w:val="28"/>
      <w:sz w:val="52"/>
      <w:szCs w:val="52"/>
    </w:rPr>
  </w:style>
  <w:style w:type="character" w:customStyle="1" w:styleId="148">
    <w:name w:val="Subtitle Char"/>
    <w:basedOn w:val="137"/>
    <w:link w:val="30"/>
    <w:qFormat/>
    <w:uiPriority w:val="11"/>
    <w:rPr>
      <w:rFonts w:asciiTheme="majorHAnsi" w:hAnsiTheme="majorHAnsi" w:eastAsiaTheme="majorEastAsia" w:cstheme="majorBidi"/>
      <w:i/>
      <w:iCs/>
      <w:color w:val="4F81BD" w:themeColor="accent1"/>
      <w:spacing w:val="15"/>
      <w:sz w:val="24"/>
      <w:szCs w:val="24"/>
      <w14:textFill>
        <w14:solidFill>
          <w14:schemeClr w14:val="accent1"/>
        </w14:solidFill>
      </w14:textFill>
    </w:rPr>
  </w:style>
  <w:style w:type="paragraph" w:customStyle="1" w:styleId="149">
    <w:name w:val="List Paragraph"/>
    <w:basedOn w:val="1"/>
    <w:qFormat/>
    <w:uiPriority w:val="34"/>
    <w:pPr>
      <w:ind w:left="720"/>
      <w:contextualSpacing/>
    </w:pPr>
  </w:style>
  <w:style w:type="character" w:customStyle="1" w:styleId="150">
    <w:name w:val="Body Text Char"/>
    <w:basedOn w:val="137"/>
    <w:link w:val="22"/>
    <w:qFormat/>
    <w:uiPriority w:val="99"/>
  </w:style>
  <w:style w:type="character" w:customStyle="1" w:styleId="151">
    <w:name w:val="Body Text 2 Char"/>
    <w:basedOn w:val="137"/>
    <w:link w:val="32"/>
    <w:qFormat/>
    <w:uiPriority w:val="99"/>
  </w:style>
  <w:style w:type="character" w:customStyle="1" w:styleId="152">
    <w:name w:val="Body Text 3 Char"/>
    <w:basedOn w:val="137"/>
    <w:link w:val="20"/>
    <w:qFormat/>
    <w:uiPriority w:val="99"/>
    <w:rPr>
      <w:sz w:val="16"/>
      <w:szCs w:val="16"/>
    </w:rPr>
  </w:style>
  <w:style w:type="character" w:customStyle="1" w:styleId="153">
    <w:name w:val="Macro Text Char"/>
    <w:basedOn w:val="137"/>
    <w:link w:val="2"/>
    <w:qFormat/>
    <w:uiPriority w:val="99"/>
    <w:rPr>
      <w:rFonts w:ascii="Courier" w:hAnsi="Courier"/>
      <w:sz w:val="20"/>
      <w:szCs w:val="20"/>
    </w:rPr>
  </w:style>
  <w:style w:type="paragraph" w:customStyle="1" w:styleId="154">
    <w:name w:val="Quote"/>
    <w:basedOn w:val="1"/>
    <w:next w:val="1"/>
    <w:link w:val="155"/>
    <w:qFormat/>
    <w:uiPriority w:val="29"/>
    <w:rPr>
      <w:i/>
      <w:iCs/>
      <w:color w:val="000000" w:themeColor="text1"/>
      <w14:textFill>
        <w14:solidFill>
          <w14:schemeClr w14:val="tx1"/>
        </w14:solidFill>
      </w14:textFill>
    </w:rPr>
  </w:style>
  <w:style w:type="character" w:customStyle="1" w:styleId="155">
    <w:name w:val="Quote Char"/>
    <w:basedOn w:val="137"/>
    <w:link w:val="154"/>
    <w:qFormat/>
    <w:uiPriority w:val="29"/>
    <w:rPr>
      <w:i/>
      <w:iCs/>
      <w:color w:val="000000" w:themeColor="text1"/>
      <w14:textFill>
        <w14:solidFill>
          <w14:schemeClr w14:val="tx1"/>
        </w14:solidFill>
      </w14:textFill>
    </w:rPr>
  </w:style>
  <w:style w:type="character" w:customStyle="1" w:styleId="156">
    <w:name w:val="Heading 4 Char"/>
    <w:basedOn w:val="137"/>
    <w:link w:val="6"/>
    <w:semiHidden/>
    <w:qFormat/>
    <w:uiPriority w:val="9"/>
    <w:rPr>
      <w:rFonts w:asciiTheme="majorHAnsi" w:hAnsiTheme="majorHAnsi" w:eastAsiaTheme="majorEastAsia" w:cstheme="majorBidi"/>
      <w:b/>
      <w:bCs/>
      <w:i/>
      <w:iCs/>
      <w:color w:val="4F81BD" w:themeColor="accent1"/>
      <w14:textFill>
        <w14:solidFill>
          <w14:schemeClr w14:val="accent1"/>
        </w14:solidFill>
      </w14:textFill>
    </w:rPr>
  </w:style>
  <w:style w:type="character" w:customStyle="1" w:styleId="157">
    <w:name w:val="Heading 5 Char"/>
    <w:basedOn w:val="137"/>
    <w:link w:val="7"/>
    <w:semiHidden/>
    <w:qFormat/>
    <w:uiPriority w:val="9"/>
    <w:rPr>
      <w:rFonts w:asciiTheme="majorHAnsi" w:hAnsiTheme="majorHAnsi" w:eastAsiaTheme="majorEastAsia" w:cstheme="majorBidi"/>
      <w:color w:val="254061" w:themeColor="accent1" w:themeShade="80"/>
    </w:rPr>
  </w:style>
  <w:style w:type="character" w:customStyle="1" w:styleId="158">
    <w:name w:val="Heading 6 Char"/>
    <w:basedOn w:val="137"/>
    <w:link w:val="8"/>
    <w:semiHidden/>
    <w:qFormat/>
    <w:uiPriority w:val="9"/>
    <w:rPr>
      <w:rFonts w:asciiTheme="majorHAnsi" w:hAnsiTheme="majorHAnsi" w:eastAsiaTheme="majorEastAsia" w:cstheme="majorBidi"/>
      <w:i/>
      <w:iCs/>
      <w:color w:val="254061" w:themeColor="accent1" w:themeShade="80"/>
    </w:rPr>
  </w:style>
  <w:style w:type="character" w:customStyle="1" w:styleId="159">
    <w:name w:val="Heading 7 Char"/>
    <w:basedOn w:val="137"/>
    <w:link w:val="9"/>
    <w:semiHidden/>
    <w:qFormat/>
    <w:uiPriority w:val="9"/>
    <w:rPr>
      <w:rFonts w:asciiTheme="majorHAnsi" w:hAnsiTheme="majorHAnsi" w:eastAsiaTheme="majorEastAsia" w:cstheme="majorBidi"/>
      <w:i/>
      <w:iCs/>
      <w:color w:val="404040" w:themeColor="text1" w:themeTint="BF"/>
      <w14:textFill>
        <w14:solidFill>
          <w14:schemeClr w14:val="tx1">
            <w14:lumMod w14:val="75000"/>
            <w14:lumOff w14:val="25000"/>
          </w14:schemeClr>
        </w14:solidFill>
      </w14:textFill>
    </w:rPr>
  </w:style>
  <w:style w:type="character" w:customStyle="1" w:styleId="160">
    <w:name w:val="Heading 8 Char"/>
    <w:basedOn w:val="137"/>
    <w:link w:val="10"/>
    <w:semiHidden/>
    <w:qFormat/>
    <w:uiPriority w:val="9"/>
    <w:rPr>
      <w:rFonts w:asciiTheme="majorHAnsi" w:hAnsiTheme="majorHAnsi" w:eastAsiaTheme="majorEastAsia" w:cstheme="majorBidi"/>
      <w:color w:val="4F81BD" w:themeColor="accent1"/>
      <w:sz w:val="20"/>
      <w:szCs w:val="20"/>
      <w14:textFill>
        <w14:solidFill>
          <w14:schemeClr w14:val="accent1"/>
        </w14:solidFill>
      </w14:textFill>
    </w:rPr>
  </w:style>
  <w:style w:type="character" w:customStyle="1" w:styleId="161">
    <w:name w:val="Heading 9 Char"/>
    <w:basedOn w:val="137"/>
    <w:link w:val="11"/>
    <w:semiHidden/>
    <w:qFormat/>
    <w:uiPriority w:val="9"/>
    <w:rPr>
      <w:rFonts w:asciiTheme="majorHAnsi" w:hAnsiTheme="majorHAnsi" w:eastAsiaTheme="majorEastAsia" w:cstheme="majorBidi"/>
      <w:i/>
      <w:iCs/>
      <w:color w:val="404040" w:themeColor="text1" w:themeTint="BF"/>
      <w:sz w:val="20"/>
      <w:szCs w:val="20"/>
      <w14:textFill>
        <w14:solidFill>
          <w14:schemeClr w14:val="tx1">
            <w14:lumMod w14:val="75000"/>
            <w14:lumOff w14:val="25000"/>
          </w14:schemeClr>
        </w14:solidFill>
      </w14:textFill>
    </w:rPr>
  </w:style>
  <w:style w:type="paragraph" w:customStyle="1" w:styleId="162">
    <w:name w:val="Intense Quote"/>
    <w:basedOn w:val="1"/>
    <w:next w:val="1"/>
    <w:link w:val="163"/>
    <w:qFormat/>
    <w:uiPriority w:val="30"/>
    <w:pPr>
      <w:pBdr>
        <w:bottom w:val="single" w:color="4F81BD" w:themeColor="accent1" w:sz="4" w:space="4"/>
      </w:pBdr>
      <w:spacing w:before="200" w:after="280"/>
      <w:ind w:left="936" w:right="936"/>
    </w:pPr>
    <w:rPr>
      <w:b/>
      <w:bCs/>
      <w:i/>
      <w:iCs/>
      <w:color w:val="4F81BD" w:themeColor="accent1"/>
      <w14:textFill>
        <w14:solidFill>
          <w14:schemeClr w14:val="accent1"/>
        </w14:solidFill>
      </w14:textFill>
    </w:rPr>
  </w:style>
  <w:style w:type="character" w:customStyle="1" w:styleId="163">
    <w:name w:val="Intense Quote Char"/>
    <w:basedOn w:val="137"/>
    <w:link w:val="162"/>
    <w:qFormat/>
    <w:uiPriority w:val="30"/>
    <w:rPr>
      <w:b/>
      <w:bCs/>
      <w:i/>
      <w:iCs/>
      <w:color w:val="4F81BD" w:themeColor="accent1"/>
      <w14:textFill>
        <w14:solidFill>
          <w14:schemeClr w14:val="accent1"/>
        </w14:solidFill>
      </w14:textFill>
    </w:rPr>
  </w:style>
  <w:style w:type="character" w:customStyle="1" w:styleId="164">
    <w:name w:val="Subtle Emphasis"/>
    <w:basedOn w:val="137"/>
    <w:qFormat/>
    <w:uiPriority w:val="19"/>
    <w:rPr>
      <w:i/>
      <w:iCs/>
      <w:color w:val="808080" w:themeColor="text1" w:themeTint="80"/>
      <w14:textFill>
        <w14:solidFill>
          <w14:schemeClr w14:val="tx1">
            <w14:lumMod w14:val="50000"/>
            <w14:lumOff w14:val="50000"/>
          </w14:schemeClr>
        </w14:solidFill>
      </w14:textFill>
    </w:rPr>
  </w:style>
  <w:style w:type="character" w:customStyle="1" w:styleId="165">
    <w:name w:val="Intense Emphasis"/>
    <w:basedOn w:val="137"/>
    <w:qFormat/>
    <w:uiPriority w:val="21"/>
    <w:rPr>
      <w:b/>
      <w:bCs/>
      <w:i/>
      <w:iCs/>
      <w:color w:val="4F81BD" w:themeColor="accent1"/>
      <w14:textFill>
        <w14:solidFill>
          <w14:schemeClr w14:val="accent1"/>
        </w14:solidFill>
      </w14:textFill>
    </w:rPr>
  </w:style>
  <w:style w:type="character" w:customStyle="1" w:styleId="166">
    <w:name w:val="Subtle Reference"/>
    <w:basedOn w:val="137"/>
    <w:qFormat/>
    <w:uiPriority w:val="31"/>
    <w:rPr>
      <w:smallCaps/>
      <w:color w:val="C0504D" w:themeColor="accent2"/>
      <w:u w:val="single"/>
      <w14:textFill>
        <w14:solidFill>
          <w14:schemeClr w14:val="accent2"/>
        </w14:solidFill>
      </w14:textFill>
    </w:rPr>
  </w:style>
  <w:style w:type="character" w:customStyle="1" w:styleId="167">
    <w:name w:val="Intense Reference"/>
    <w:basedOn w:val="137"/>
    <w:qFormat/>
    <w:uiPriority w:val="32"/>
    <w:rPr>
      <w:b/>
      <w:bCs/>
      <w:smallCaps/>
      <w:color w:val="C0504D" w:themeColor="accent2"/>
      <w:spacing w:val="5"/>
      <w:u w:val="single"/>
      <w14:textFill>
        <w14:solidFill>
          <w14:schemeClr w14:val="accent2"/>
        </w14:solidFill>
      </w14:textFill>
    </w:rPr>
  </w:style>
  <w:style w:type="character" w:customStyle="1" w:styleId="168">
    <w:name w:val="Book Title"/>
    <w:basedOn w:val="137"/>
    <w:qFormat/>
    <w:uiPriority w:val="33"/>
    <w:rPr>
      <w:b/>
      <w:bCs/>
      <w:smallCaps/>
      <w:spacing w:val="5"/>
    </w:rPr>
  </w:style>
  <w:style w:type="paragraph" w:customStyle="1" w:styleId="169">
    <w:name w:val="TOC Heading"/>
    <w:basedOn w:val="3"/>
    <w:next w:val="1"/>
    <w:unhideWhenUsed/>
    <w:qFormat/>
    <w:uiPriority w:val="39"/>
    <w:pPr>
      <w:outlineLvl w:val="9"/>
    </w:pPr>
  </w:style>
  <w:style w:type="paragraph" w:customStyle="1" w:styleId="170">
    <w:name w:val="Table Text"/>
    <w:basedOn w:val="1"/>
    <w:semiHidden/>
    <w:qFormat/>
    <w:uiPriority w:val="0"/>
    <w:rPr>
      <w:rFonts w:ascii="宋体" w:hAnsi="宋体" w:eastAsia="宋体" w:cs="宋体"/>
      <w:sz w:val="22"/>
      <w:szCs w:val="22"/>
      <w:lang w:val="en-US" w:eastAsia="en-US" w:bidi="ar-SA"/>
    </w:rPr>
  </w:style>
  <w:style w:type="character" w:customStyle="1" w:styleId="171">
    <w:name w:val="font21"/>
    <w:basedOn w:val="137"/>
    <w:qFormat/>
    <w:uiPriority w:val="0"/>
    <w:rPr>
      <w:rFonts w:hint="eastAsia" w:ascii="微软雅黑" w:hAnsi="微软雅黑" w:eastAsia="微软雅黑" w:cs="微软雅黑"/>
      <w:color w:val="000000"/>
      <w:sz w:val="24"/>
      <w:szCs w:val="24"/>
      <w:u w:val="none"/>
    </w:rPr>
  </w:style>
  <w:style w:type="character" w:customStyle="1" w:styleId="172">
    <w:name w:val="font01"/>
    <w:basedOn w:val="137"/>
    <w:qFormat/>
    <w:uiPriority w:val="0"/>
    <w:rPr>
      <w:rFonts w:hint="eastAsia" w:ascii="微软雅黑" w:hAnsi="微软雅黑" w:eastAsia="微软雅黑" w:cs="微软雅黑"/>
      <w:color w:val="FF0000"/>
      <w:sz w:val="24"/>
      <w:szCs w:val="24"/>
      <w:u w:val="none"/>
    </w:rPr>
  </w:style>
  <w:style w:type="character" w:customStyle="1" w:styleId="173">
    <w:name w:val="font31"/>
    <w:basedOn w:val="137"/>
    <w:qFormat/>
    <w:uiPriority w:val="0"/>
    <w:rPr>
      <w:rFonts w:hint="eastAsia" w:ascii="微软雅黑" w:hAnsi="微软雅黑" w:eastAsia="微软雅黑" w:cs="微软雅黑"/>
      <w:color w:val="000000"/>
      <w:sz w:val="24"/>
      <w:szCs w:val="24"/>
      <w:u w:val="none"/>
    </w:rPr>
  </w:style>
  <w:style w:type="paragraph" w:customStyle="1" w:styleId="174">
    <w:name w:val="null3"/>
    <w:hidden/>
    <w:qFormat/>
    <w:uiPriority w:val="0"/>
    <w:rPr>
      <w:rFonts w:hint="eastAsia" w:asciiTheme="minorHAnsi" w:hAnsiTheme="minorHAnsi" w:eastAsiaTheme="minorEastAsia" w:cstheme="minorBidi"/>
      <w:lang w:val="en-US" w:eastAsia="zh-Hans"/>
    </w:rPr>
  </w:style>
  <w:style w:type="paragraph" w:customStyle="1" w:styleId="175">
    <w:name w:val="表格文字"/>
    <w:basedOn w:val="176"/>
    <w:qFormat/>
    <w:uiPriority w:val="0"/>
    <w:pPr>
      <w:spacing w:before="25" w:after="25"/>
      <w:jc w:val="left"/>
    </w:pPr>
    <w:rPr>
      <w:bCs/>
      <w:spacing w:val="10"/>
      <w:kern w:val="0"/>
      <w:sz w:val="24"/>
      <w:szCs w:val="20"/>
    </w:rPr>
  </w:style>
  <w:style w:type="paragraph" w:customStyle="1" w:styleId="176">
    <w:name w:val="表格文字（两侧对齐）"/>
    <w:basedOn w:val="1"/>
    <w:qFormat/>
    <w:uiPriority w:val="0"/>
    <w:pPr>
      <w:widowControl w:val="0"/>
      <w:snapToGrid w:val="0"/>
      <w:spacing w:line="240" w:lineRule="auto"/>
      <w:ind w:firstLine="0" w:firstLineChars="0"/>
    </w:pPr>
    <w:rPr>
      <w:rFonts w:ascii="Calibri" w:hAnsi="Calibri" w:cs="Times New Roman"/>
      <w:kern w:val="0"/>
      <w:sz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glossaryDocument" Target="glossary/document.xml"/><Relationship Id="rId13" Type="http://schemas.openxmlformats.org/officeDocument/2006/relationships/fontTable" Target="fontTable.xml"/><Relationship Id="rId12" Type="http://schemas.openxmlformats.org/officeDocument/2006/relationships/customXml" Target="../customXml/item2.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glossary/_rels/document.xml.rels><?xml version="1.0" encoding="UTF-8" standalone="yes"?>
<Relationships xmlns="http://schemas.openxmlformats.org/package/2006/relationships"><Relationship Id="rId3"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docParts>
    <w:docPart>
      <w:docPartPr>
        <w:name w:val="{9faf50bc-0ce7-4505-bffb-0188b0f9271e}"/>
        <w:style w:val=""/>
        <w:category>
          <w:name w:val="常规"/>
          <w:gallery w:val="placeholder"/>
        </w:category>
        <w:types>
          <w:type w:val="bbPlcHdr"/>
        </w:types>
        <w:behaviors>
          <w:behavior w:val="content"/>
        </w:behaviors>
        <w:description w:val=""/>
        <w:guid w:val="{9faf50bc-0ce7-4505-bffb-0188b0f9271e}"/>
      </w:docPartPr>
      <w:docPartBody>
        <w:p w14:paraId="10393148">
          <w:pPr>
            <w:pStyle w:val="2"/>
          </w:pPr>
          <w:r>
            <w:rPr>
              <w:rStyle w:val="3"/>
              <w:rFonts w:hint="eastAsia"/>
              <w:color w:val="000000" w:themeColor="text1"/>
              <w14:textFill>
                <w14:solidFill>
                  <w14:schemeClr w14:val="tx1"/>
                </w14:solidFill>
              </w14:textFill>
            </w:rPr>
            <w:t>年  月  日</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auto"/>
    <w:pitch w:val="default"/>
    <w:sig w:usb0="E00006FF" w:usb1="420024FF" w:usb2="02000000" w:usb3="00000000" w:csb0="2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compat>
    <w:useFELayout/>
    <w:splitPgBreakAndParaMark/>
    <w:compatSetting w:name="compatibilityMode" w:uri="http://schemas.microsoft.com/office/word" w:val="14"/>
  </w:compat>
  <w:rsids>
    <w:rsidRoot w:val="00000000"/>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glossary/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iPriority="1" w:name="Default Paragraph Font"/>
    <w:lsdException w:qFormat="1" w:unhideWhenUsed="0" w:uiPriority="99" w:name="Placeholder Text"/>
  </w:latentStyles>
  <w:style w:type="character" w:default="1" w:styleId="1">
    <w:name w:val="Default Paragraph Font"/>
    <w:semiHidden/>
    <w:unhideWhenUsed/>
    <w:qFormat/>
    <w:uiPriority w:val="1"/>
  </w:style>
  <w:style w:type="paragraph" w:customStyle="1" w:styleId="2">
    <w:name w:val="EA96D7F7CF1A4A5297711D2BFC5C50795"/>
    <w:qFormat/>
    <w:uiPriority w:val="0"/>
    <w:pPr>
      <w:widowControl w:val="0"/>
      <w:jc w:val="both"/>
    </w:pPr>
    <w:rPr>
      <w:rFonts w:ascii="Times New Roman" w:hAnsi="Times New Roman" w:eastAsia="宋体" w:cs="Times New Roman"/>
      <w:kern w:val="2"/>
      <w:sz w:val="21"/>
      <w:szCs w:val="24"/>
      <w:lang w:val="en-US" w:eastAsia="zh-CN" w:bidi="ar-SA"/>
    </w:rPr>
  </w:style>
  <w:style w:type="character" w:styleId="3">
    <w:name w:val="Placeholder Text"/>
    <w:basedOn w:val="1"/>
    <w:semiHidden/>
    <w:qFormat/>
    <w:uiPriority w:val="99"/>
    <w:rPr>
      <w:color w:val="808080"/>
    </w:rPr>
  </w:style>
</w:styl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F278816-EC6F-A645-907D-7F25AECB1D4A}">
  <ds:schemaRefs/>
</ds:datastoreItem>
</file>

<file path=docProps/app.xml><?xml version="1.0" encoding="utf-8"?>
<Properties xmlns="http://schemas.openxmlformats.org/officeDocument/2006/extended-properties" xmlns:vt="http://schemas.openxmlformats.org/officeDocument/2006/docPropsVTypes">
  <Template>Normal.dotm</Template>
  <Pages>82</Pages>
  <Words>3830</Words>
  <Characters>4161</Characters>
  <Lines>0</Lines>
  <Paragraphs>0</Paragraphs>
  <TotalTime>6</TotalTime>
  <ScaleCrop>false</ScaleCrop>
  <LinksUpToDate>false</LinksUpToDate>
  <CharactersWithSpaces>4194</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2013-12-23T23:15:00Z</dcterms:created>
  <dc:creator>python-docx</dc:creator>
  <dc:description>generated by python-docx</dc:description>
  <cp:lastModifiedBy>林文鹏</cp:lastModifiedBy>
  <cp:lastPrinted>2026-09-03T02:48:00Z</cp:lastPrinted>
  <dcterms:modified xsi:type="dcterms:W3CDTF">2026-10-22T08:41:13Z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eyJoZGlkIjoiM2I2MTQwMjM4NDhiNjdjYTJlMzhhYmE4N2NiY2RjNTIiLCJ1c2VySWQiOiI5ODI0NDc2NDIifQ==</vt:lpwstr>
  </property>
  <property fmtid="{D5CDD505-2E9C-101B-9397-08002B2CF9AE}" pid="3" name="KSOProductBuildVer">
    <vt:lpwstr>2052-12.1.0.29161</vt:lpwstr>
  </property>
  <property fmtid="{D5CDD505-2E9C-101B-9397-08002B2CF9AE}" pid="4" name="ICV">
    <vt:lpwstr>0D289560ADBA4AB1AFB1E1AFE3E81001_13</vt:lpwstr>
  </property>
</Properties>
</file>